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8C"/>
          <w:sz w:val="32"/>
        </w:rPr>
        <w:t>VIVRITI CAPITAL LIMITED</w:t>
      </w:r>
    </w:p>
    <w:p>
      <w:pPr>
        <w:jc w:val="center"/>
      </w:pPr>
      <w:r>
        <w:rPr>
          <w:b/>
          <w:sz w:val="26"/>
        </w:rPr>
        <w:t>Credit Appraisal Memorandum (CAM)</w:t>
      </w:r>
    </w:p>
    <w:p>
      <w:pPr>
        <w:pBdr>
          <w:bottom w:val="single" w:sz="6" w:space="1" w:color="1F3864"/>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rPr>
              <w:t>Company Name</w:t>
            </w:r>
          </w:p>
        </w:tc>
        <w:tc>
          <w:tcPr>
            <w:tcW w:type="dxa" w:w="2351"/>
          </w:tcPr>
          <w:p>
            <w:r>
              <w:t>Tata Motors Limited</w:t>
            </w:r>
          </w:p>
        </w:tc>
        <w:tc>
          <w:tcPr>
            <w:tcW w:type="dxa" w:w="2351"/>
            <w:shd w:val="clear" w:color="auto" w:fill="E8F0FE"/>
          </w:tcPr>
          <w:p>
            <w:r>
              <w:rPr>
                <w:b/>
              </w:rPr>
              <w:t>Date</w:t>
            </w:r>
          </w:p>
        </w:tc>
        <w:tc>
          <w:tcPr>
            <w:tcW w:type="dxa" w:w="2351"/>
          </w:tcPr>
          <w:p>
            <w:r>
              <w:t>06-Mar-2026</w:t>
            </w:r>
          </w:p>
        </w:tc>
      </w:tr>
      <w:tr>
        <w:tc>
          <w:tcPr>
            <w:tcW w:type="dxa" w:w="2351"/>
            <w:shd w:val="clear" w:color="auto" w:fill="E8F0FE"/>
          </w:tcPr>
          <w:p>
            <w:r>
              <w:rPr>
                <w:b/>
              </w:rPr>
              <w:t>Loan Amount</w:t>
            </w:r>
          </w:p>
        </w:tc>
        <w:tc>
          <w:tcPr>
            <w:tcW w:type="dxa" w:w="2351"/>
          </w:tcPr>
          <w:p>
            <w:r>
              <w:t>₹ 500 Crores</w:t>
            </w:r>
          </w:p>
        </w:tc>
        <w:tc>
          <w:tcPr>
            <w:tcW w:type="dxa" w:w="2351"/>
            <w:shd w:val="clear" w:color="auto" w:fill="E8F0FE"/>
          </w:tcPr>
          <w:p>
            <w:r>
              <w:rPr>
                <w:b/>
              </w:rPr>
              <w:t>Purpose</w:t>
            </w:r>
          </w:p>
        </w:tc>
        <w:tc>
          <w:tcPr>
            <w:tcW w:type="dxa" w:w="2351"/>
          </w:tcPr>
          <w:p>
            <w:r>
              <w:t>Working Capital Expansion</w:t>
            </w:r>
          </w:p>
        </w:tc>
      </w:tr>
    </w:tbl>
    <w:p/>
    <w:p>
      <w:pPr>
        <w:spacing w:before="240" w:after="120"/>
      </w:pPr>
      <w:r>
        <w:rPr>
          <w:b/>
          <w:color w:val="1F3864"/>
          <w:sz w:val="24"/>
        </w:rPr>
        <w:t>1. EXECUTIVE SUMMARY</w:t>
      </w:r>
    </w:p>
    <w:p>
      <w:r>
        <w:t>This Credit Appraisal Memo (CAM) evaluates a working capital expansion loan request of ₹ 500 Crores from Tata Motors Limited, specifically for its Jaguar Land Rover (JLR) division. JLR operates in the luxury automotive manufacturing sector and is a subsidiary of the highly reputable Tata Group. The company demonstrates exceptional financial strength with zero existing total debt, robust EBITDA margins (14.3%), and a strong promoter background (Tata Group with 'Good' reputation). The character and capital aspects of the 'Five Cs' assessment are outstanding, scoring 95 each. However, the recent cyberattack impacting JLR's FY25 profit and causing extended factory closures introduces significant near-term operational and financial risks, impacting future cash flow generation capacity. Consequently, while the underlying financial and promoter strengths are compelling, the immediate operational headwinds necessitate a cautious approach. The final recommendation is a 'Conditional Approve' to extend the requested facility, subject to stringent conditions precedent and post-disbursement monitoring to mitigate the identified risks.</w:t>
      </w:r>
    </w:p>
    <w:p>
      <w:pPr>
        <w:jc w:val="center"/>
        <w:shd w:val="clear" w:color="auto" w:fill="FF8C00"/>
      </w:pPr>
      <w:r>
        <w:rPr>
          <w:b/>
          <w:color w:val="FFFFFF"/>
          <w:sz w:val="24"/>
        </w:rPr>
        <w:t xml:space="preserve">  RECOMMENDATION: CONDITIONAL_APPROVE  </w:t>
      </w:r>
    </w:p>
    <w:p/>
    <w:p>
      <w:pPr>
        <w:spacing w:before="240" w:after="120"/>
      </w:pPr>
      <w:r>
        <w:rPr>
          <w:b/>
          <w:color w:val="1F3864"/>
          <w:sz w:val="24"/>
        </w:rPr>
        <w:t>2. COMPANY BACKGROUND</w:t>
      </w:r>
    </w:p>
    <w:p>
      <w:r>
        <w:t>Tata Motors Limited is a leading global automobile manufacturer with a diversified portfolio spanning cars, utility vehicles, trucks, buses, and defence vehicles. The subject of this appraisal is its premium automotive subsidiary, Jaguar Land Rover (JLR), a British multinational automotive company incorporated under the laws of the United Kingdom, responsible for the design, development, manufacture, and sale of luxury vehicles globally. JLR operates in the highly competitive luxury automotive segment, characterized by advanced technological innovation, global supply chains, and evolving consumer preferences.</w:t>
        <w:br/>
        <w:br/>
        <w:t>**Promoter Profile:** The ultimate promoter is the Tata Group, a globally renowned Indian conglomerate with a legacy of over 150 years, known for its ethical governance, strong financial discipline, and commitment to corporate social responsibility. The key promoters associated with Tata Motors, N. Chandrasekaran (Chairman of Tata Sons) and Maloy Kumar Gupta, possess impeccable reputations with no adverse findings, criminal cases, or instances of willful default. Their leadership is a significant de-risking factor for the company.</w:t>
        <w:br/>
        <w:br/>
        <w:t>**Corporate Structure:** JLR operates as a wholly-owned subsidiary of Tata Motors Limited. Tata Motors itself is a publicly listed entity on Indian stock exchanges, forming a critical part of the diversified Tata Group. This hierarchical structure provides JLR with strategic backing, shared resources, and robust corporate governance frameworks inherent to the Tata ethos.</w:t>
      </w:r>
    </w:p>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Details</w:t>
            </w:r>
          </w:p>
        </w:tc>
      </w:tr>
      <w:tr>
        <w:tc>
          <w:tcPr>
            <w:tcW w:type="dxa" w:w="4703"/>
            <w:shd w:val="clear" w:color="auto" w:fill="E8F0FE"/>
          </w:tcPr>
          <w:p>
            <w:r>
              <w:rPr>
                <w:b/>
              </w:rPr>
              <w:t>Company Name</w:t>
            </w:r>
          </w:p>
        </w:tc>
        <w:tc>
          <w:tcPr>
            <w:tcW w:type="dxa" w:w="4703"/>
          </w:tcPr>
          <w:p>
            <w:r>
              <w:t>Jaguar Land Rover</w:t>
            </w:r>
          </w:p>
        </w:tc>
      </w:tr>
      <w:tr>
        <w:tc>
          <w:tcPr>
            <w:tcW w:type="dxa" w:w="4703"/>
            <w:shd w:val="clear" w:color="auto" w:fill="E8F0FE"/>
          </w:tcPr>
          <w:p>
            <w:r>
              <w:rPr>
                <w:b/>
              </w:rPr>
              <w:t>CIN</w:t>
            </w:r>
          </w:p>
        </w:tc>
        <w:tc>
          <w:tcPr>
            <w:tcW w:type="dxa" w:w="4703"/>
          </w:tcPr>
          <w:p>
            <w:r>
              <w:t>N/A</w:t>
            </w:r>
          </w:p>
        </w:tc>
      </w:tr>
      <w:tr>
        <w:tc>
          <w:tcPr>
            <w:tcW w:type="dxa" w:w="4703"/>
            <w:shd w:val="clear" w:color="auto" w:fill="E8F0FE"/>
          </w:tcPr>
          <w:p>
            <w:r>
              <w:rPr>
                <w:b/>
              </w:rPr>
              <w:t>Registered Address</w:t>
            </w:r>
          </w:p>
        </w:tc>
        <w:tc>
          <w:tcPr>
            <w:tcW w:type="dxa" w:w="4703"/>
          </w:tcPr>
          <w:p>
            <w:r>
              <w:t>N/A</w:t>
            </w:r>
          </w:p>
        </w:tc>
      </w:tr>
      <w:tr>
        <w:tc>
          <w:tcPr>
            <w:tcW w:type="dxa" w:w="4703"/>
            <w:shd w:val="clear" w:color="auto" w:fill="E8F0FE"/>
          </w:tcPr>
          <w:p>
            <w:r>
              <w:rPr>
                <w:b/>
              </w:rPr>
              <w:t>Nature of Business</w:t>
            </w:r>
          </w:p>
        </w:tc>
        <w:tc>
          <w:tcPr>
            <w:tcW w:type="dxa" w:w="4703"/>
          </w:tcPr>
          <w:p>
            <w:r>
              <w:t>Automotive manufacturing (luxury vehicles)</w:t>
            </w:r>
          </w:p>
        </w:tc>
      </w:tr>
      <w:tr>
        <w:tc>
          <w:tcPr>
            <w:tcW w:type="dxa" w:w="4703"/>
            <w:shd w:val="clear" w:color="auto" w:fill="E8F0FE"/>
          </w:tcPr>
          <w:p>
            <w:r>
              <w:rPr>
                <w:b/>
              </w:rPr>
              <w:t>Year of Incorporation</w:t>
            </w:r>
          </w:p>
        </w:tc>
        <w:tc>
          <w:tcPr>
            <w:tcW w:type="dxa" w:w="4703"/>
          </w:tcPr>
          <w:p>
            <w:r>
              <w:t>None</w:t>
            </w:r>
          </w:p>
        </w:tc>
      </w:tr>
      <w:tr>
        <w:tc>
          <w:tcPr>
            <w:tcW w:type="dxa" w:w="4703"/>
            <w:shd w:val="clear" w:color="auto" w:fill="E8F0FE"/>
          </w:tcPr>
          <w:p>
            <w:r>
              <w:rPr>
                <w:b/>
              </w:rPr>
              <w:t>Directors/Promoters</w:t>
            </w:r>
          </w:p>
        </w:tc>
        <w:tc>
          <w:tcPr>
            <w:tcW w:type="dxa" w:w="4703"/>
          </w:tcPr>
          <w:p>
            <w:r>
              <w:t>N/A</w:t>
            </w:r>
          </w:p>
        </w:tc>
      </w:tr>
    </w:tbl>
    <w:p/>
    <w:p>
      <w:pPr>
        <w:spacing w:before="240" w:after="120"/>
      </w:pPr>
      <w:r>
        <w:rPr>
          <w:b/>
          <w:color w:val="1F3864"/>
          <w:sz w:val="24"/>
        </w:rPr>
        <w:t>3. FINANCIAL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Financial Metric</w:t>
            </w:r>
          </w:p>
        </w:tc>
        <w:tc>
          <w:tcPr>
            <w:tcW w:type="dxa" w:w="3135"/>
            <w:shd w:val="clear" w:color="auto" w:fill="1F3864"/>
          </w:tcPr>
          <w:p>
            <w:r>
              <w:rPr>
                <w:b/>
                <w:color w:val="FFFFFF"/>
              </w:rPr>
              <w:t>Current Year (₹ Cr)</w:t>
            </w:r>
          </w:p>
        </w:tc>
        <w:tc>
          <w:tcPr>
            <w:tcW w:type="dxa" w:w="3135"/>
            <w:shd w:val="clear" w:color="auto" w:fill="1F3864"/>
          </w:tcPr>
          <w:p>
            <w:r>
              <w:rPr>
                <w:b/>
                <w:color w:val="FFFFFF"/>
              </w:rPr>
              <w:t>Assessment</w:t>
            </w:r>
          </w:p>
        </w:tc>
      </w:tr>
      <w:tr>
        <w:tc>
          <w:tcPr>
            <w:tcW w:type="dxa" w:w="3135"/>
            <w:shd w:val="clear" w:color="auto" w:fill="E8F0FE"/>
          </w:tcPr>
          <w:p>
            <w:r>
              <w:rPr>
                <w:b/>
              </w:rPr>
              <w:t>Total Revenue/Turnover</w:t>
            </w:r>
          </w:p>
        </w:tc>
        <w:tc>
          <w:tcPr>
            <w:tcW w:type="dxa" w:w="3135"/>
          </w:tcPr>
          <w:p>
            <w:pPr>
              <w:jc w:val="center"/>
            </w:pPr>
            <w:r>
              <w:t>29000000000</w:t>
            </w:r>
          </w:p>
        </w:tc>
        <w:tc>
          <w:tcPr>
            <w:tcW w:type="dxa" w:w="3135"/>
          </w:tcPr>
          <w:p>
            <w:r>
              <w:t>Large</w:t>
            </w:r>
          </w:p>
        </w:tc>
      </w:tr>
      <w:tr>
        <w:tc>
          <w:tcPr>
            <w:tcW w:type="dxa" w:w="3135"/>
            <w:shd w:val="clear" w:color="auto" w:fill="E8F0FE"/>
          </w:tcPr>
          <w:p>
            <w:r>
              <w:rPr>
                <w:b/>
              </w:rPr>
              <w:t>EBITDA</w:t>
            </w:r>
          </w:p>
        </w:tc>
        <w:tc>
          <w:tcPr>
            <w:tcW w:type="dxa" w:w="3135"/>
          </w:tcPr>
          <w:p>
            <w:pPr>
              <w:jc w:val="center"/>
            </w:pPr>
            <w:r>
              <w:t>4147000000</w:t>
            </w:r>
          </w:p>
        </w:tc>
        <w:tc>
          <w:tcPr>
            <w:tcW w:type="dxa" w:w="3135"/>
          </w:tcPr>
          <w:p>
            <w:r>
              <w:t>Strong</w:t>
            </w:r>
          </w:p>
        </w:tc>
      </w:tr>
      <w:tr>
        <w:tc>
          <w:tcPr>
            <w:tcW w:type="dxa" w:w="3135"/>
            <w:shd w:val="clear" w:color="auto" w:fill="E8F0FE"/>
          </w:tcPr>
          <w:p>
            <w:r>
              <w:rPr>
                <w:b/>
              </w:rPr>
              <w:t>PAT (Profit After Tax)</w:t>
            </w:r>
          </w:p>
        </w:tc>
        <w:tc>
          <w:tcPr>
            <w:tcW w:type="dxa" w:w="3135"/>
          </w:tcPr>
          <w:p>
            <w:pPr>
              <w:jc w:val="center"/>
            </w:pPr>
            <w:r>
              <w:t>1800000000</w:t>
            </w:r>
          </w:p>
        </w:tc>
        <w:tc>
          <w:tcPr>
            <w:tcW w:type="dxa" w:w="3135"/>
          </w:tcPr>
          <w:p>
            <w:r>
              <w:t>Profitable</w:t>
            </w:r>
          </w:p>
        </w:tc>
      </w:tr>
      <w:tr>
        <w:tc>
          <w:tcPr>
            <w:tcW w:type="dxa" w:w="3135"/>
            <w:shd w:val="clear" w:color="auto" w:fill="E8F0FE"/>
          </w:tcPr>
          <w:p>
            <w:r>
              <w:rPr>
                <w:b/>
              </w:rPr>
              <w:t>Total Assets</w:t>
            </w:r>
          </w:p>
        </w:tc>
        <w:tc>
          <w:tcPr>
            <w:tcW w:type="dxa" w:w="3135"/>
          </w:tcPr>
          <w:p>
            <w:pPr>
              <w:jc w:val="center"/>
            </w:pPr>
            <w:r>
              <w:t>N/A</w:t>
            </w:r>
          </w:p>
        </w:tc>
        <w:tc>
          <w:tcPr>
            <w:tcW w:type="dxa" w:w="3135"/>
          </w:tcPr>
          <w:p>
            <w:r>
              <w:t>—</w:t>
            </w:r>
          </w:p>
        </w:tc>
      </w:tr>
      <w:tr>
        <w:tc>
          <w:tcPr>
            <w:tcW w:type="dxa" w:w="3135"/>
            <w:shd w:val="clear" w:color="auto" w:fill="E8F0FE"/>
          </w:tcPr>
          <w:p>
            <w:r>
              <w:rPr>
                <w:b/>
              </w:rPr>
              <w:t>Net Worth / Equity</w:t>
            </w:r>
          </w:p>
        </w:tc>
        <w:tc>
          <w:tcPr>
            <w:tcW w:type="dxa" w:w="3135"/>
          </w:tcPr>
          <w:p>
            <w:pPr>
              <w:jc w:val="center"/>
            </w:pPr>
            <w:r>
              <w:t>N/A</w:t>
            </w:r>
          </w:p>
        </w:tc>
        <w:tc>
          <w:tcPr>
            <w:tcW w:type="dxa" w:w="3135"/>
          </w:tcPr>
          <w:p>
            <w:r>
              <w:t>N/A</w:t>
            </w:r>
          </w:p>
        </w:tc>
      </w:tr>
      <w:tr>
        <w:tc>
          <w:tcPr>
            <w:tcW w:type="dxa" w:w="3135"/>
            <w:shd w:val="clear" w:color="auto" w:fill="E8F0FE"/>
          </w:tcPr>
          <w:p>
            <w:r>
              <w:rPr>
                <w:b/>
              </w:rPr>
              <w:t>Total Debt / Borrowings</w:t>
            </w:r>
          </w:p>
        </w:tc>
        <w:tc>
          <w:tcPr>
            <w:tcW w:type="dxa" w:w="3135"/>
          </w:tcPr>
          <w:p>
            <w:pPr>
              <w:jc w:val="center"/>
            </w:pPr>
            <w:r>
              <w:t>0</w:t>
            </w:r>
          </w:p>
        </w:tc>
        <w:tc>
          <w:tcPr>
            <w:tcW w:type="dxa" w:w="3135"/>
          </w:tcPr>
          <w:p>
            <w:r>
              <w:t>—</w:t>
            </w:r>
          </w:p>
        </w:tc>
      </w:tr>
      <w:tr>
        <w:tc>
          <w:tcPr>
            <w:tcW w:type="dxa" w:w="3135"/>
            <w:shd w:val="clear" w:color="auto" w:fill="E8F0FE"/>
          </w:tcPr>
          <w:p>
            <w:r>
              <w:rPr>
                <w:b/>
              </w:rPr>
              <w:t>Current Ratio</w:t>
            </w:r>
          </w:p>
        </w:tc>
        <w:tc>
          <w:tcPr>
            <w:tcW w:type="dxa" w:w="3135"/>
          </w:tcPr>
          <w:p>
            <w:pPr>
              <w:jc w:val="center"/>
            </w:pPr>
            <w:r>
              <w:t>N/A</w:t>
            </w:r>
          </w:p>
        </w:tc>
        <w:tc>
          <w:tcPr>
            <w:tcW w:type="dxa" w:w="3135"/>
          </w:tcPr>
          <w:p>
            <w:r>
              <w:t>N/A</w:t>
            </w:r>
          </w:p>
        </w:tc>
      </w:tr>
      <w:tr>
        <w:tc>
          <w:tcPr>
            <w:tcW w:type="dxa" w:w="3135"/>
            <w:shd w:val="clear" w:color="auto" w:fill="E8F0FE"/>
          </w:tcPr>
          <w:p>
            <w:r>
              <w:rPr>
                <w:b/>
              </w:rPr>
              <w:t>Debt to Equity</w:t>
            </w:r>
          </w:p>
        </w:tc>
        <w:tc>
          <w:tcPr>
            <w:tcW w:type="dxa" w:w="3135"/>
          </w:tcPr>
          <w:p>
            <w:pPr>
              <w:jc w:val="center"/>
            </w:pPr>
            <w:r>
              <w:t>N/A</w:t>
            </w:r>
          </w:p>
        </w:tc>
        <w:tc>
          <w:tcPr>
            <w:tcW w:type="dxa" w:w="3135"/>
          </w:tcPr>
          <w:p>
            <w:r>
              <w:t>N/A</w:t>
            </w:r>
          </w:p>
        </w:tc>
      </w:tr>
    </w:tbl>
    <w:p/>
    <w:p>
      <w:pPr>
        <w:spacing w:before="240" w:after="120"/>
      </w:pPr>
      <w:r>
        <w:rPr>
          <w:b/>
          <w:color w:val="1F3864"/>
          <w:sz w:val="24"/>
        </w:rPr>
        <w:t>4. FIVE Cs CREDIT ASSESSMENT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Credit Factor</w:t>
            </w:r>
          </w:p>
        </w:tc>
        <w:tc>
          <w:tcPr>
            <w:tcW w:type="dxa" w:w="2351"/>
            <w:shd w:val="clear" w:color="auto" w:fill="1F3864"/>
          </w:tcPr>
          <w:p>
            <w:r>
              <w:rPr>
                <w:b/>
                <w:color w:val="FFFFFF"/>
              </w:rPr>
              <w:t>Score (0-100)</w:t>
            </w:r>
          </w:p>
        </w:tc>
        <w:tc>
          <w:tcPr>
            <w:tcW w:type="dxa" w:w="2351"/>
            <w:shd w:val="clear" w:color="auto" w:fill="1F3864"/>
          </w:tcPr>
          <w:p>
            <w:r>
              <w:rPr>
                <w:b/>
                <w:color w:val="FFFFFF"/>
              </w:rPr>
              <w:t>Weight</w:t>
            </w:r>
          </w:p>
        </w:tc>
        <w:tc>
          <w:tcPr>
            <w:tcW w:type="dxa" w:w="2351"/>
            <w:shd w:val="clear" w:color="auto" w:fill="1F3864"/>
          </w:tcPr>
          <w:p>
            <w:r>
              <w:rPr>
                <w:b/>
                <w:color w:val="FFFFFF"/>
              </w:rPr>
              <w:t>Rationale</w:t>
            </w:r>
          </w:p>
        </w:tc>
      </w:tr>
      <w:tr>
        <w:tc>
          <w:tcPr>
            <w:tcW w:type="dxa" w:w="2351"/>
            <w:shd w:val="clear" w:color="auto" w:fill="E8F0FE"/>
          </w:tcPr>
          <w:p>
            <w:r>
              <w:rPr>
                <w:b/>
              </w:rPr>
              <w:t>Character</w:t>
            </w:r>
          </w:p>
        </w:tc>
        <w:tc>
          <w:tcPr>
            <w:tcW w:type="dxa" w:w="2351"/>
            <w:shd w:val="clear" w:color="auto" w:fill="C6EFCE"/>
          </w:tcPr>
          <w:p>
            <w:pPr>
              <w:jc w:val="center"/>
            </w:pPr>
            <w:r>
              <w:t>95</w:t>
            </w:r>
          </w:p>
        </w:tc>
        <w:tc>
          <w:tcPr>
            <w:tcW w:type="dxa" w:w="2351"/>
          </w:tcPr>
          <w:p>
            <w:pPr>
              <w:jc w:val="center"/>
            </w:pPr>
            <w:r>
              <w:t>25%</w:t>
            </w:r>
          </w:p>
        </w:tc>
        <w:tc>
          <w:tcPr>
            <w:tcW w:type="dxa" w:w="2351"/>
          </w:tcPr>
          <w:p>
            <w:r>
              <w:t>Excellent score owing to the strong reputation and impeccable track record of the Tata Group, which promotes ethical governance and sound management. Promoters N. Chandrasekaran and Maloy Kumar Gupta have no adverse findings, criminal cases, or wilful defaulter mentions. The company's successful handling of corporate restructuring (slump sale mechanism) further reflects strong management and strategic acumen.</w:t>
            </w:r>
          </w:p>
        </w:tc>
      </w:tr>
      <w:tr>
        <w:tc>
          <w:tcPr>
            <w:tcW w:type="dxa" w:w="2351"/>
            <w:shd w:val="clear" w:color="auto" w:fill="E8F0FE"/>
          </w:tcPr>
          <w:p>
            <w:r>
              <w:rPr>
                <w:b/>
              </w:rPr>
              <w:t>Capacity</w:t>
            </w:r>
          </w:p>
        </w:tc>
        <w:tc>
          <w:tcPr>
            <w:tcW w:type="dxa" w:w="2351"/>
            <w:shd w:val="clear" w:color="auto" w:fill="C6EFCE"/>
          </w:tcPr>
          <w:p>
            <w:pPr>
              <w:jc w:val="center"/>
            </w:pPr>
            <w:r>
              <w:t>80</w:t>
            </w:r>
          </w:p>
        </w:tc>
        <w:tc>
          <w:tcPr>
            <w:tcW w:type="dxa" w:w="2351"/>
          </w:tcPr>
          <w:p>
            <w:pPr>
              <w:jc w:val="center"/>
            </w:pPr>
            <w:r>
              <w:t>30%</w:t>
            </w:r>
          </w:p>
        </w:tc>
        <w:tc>
          <w:tcPr>
            <w:tcW w:type="dxa" w:w="2351"/>
          </w:tcPr>
          <w:p>
            <w:r>
              <w:t>The company currently reports zero total debt, which is an exceptionally strong indicator of repayment capacity as there are no existing debt servicing obligations. The EBITDA margin of 14.3% is healthy for an automotive manufacturer. However, the stable (non-growing) revenue trend and significant risk signals from a recent cyberattack, which is projected to impact JLR's FY25 profit and cause extended factory closures, pose a substantial near-term threat to future cash flow generation and repayment capacity.</w:t>
            </w:r>
          </w:p>
        </w:tc>
      </w:tr>
      <w:tr>
        <w:tc>
          <w:tcPr>
            <w:tcW w:type="dxa" w:w="2351"/>
            <w:shd w:val="clear" w:color="auto" w:fill="E8F0FE"/>
          </w:tcPr>
          <w:p>
            <w:r>
              <w:rPr>
                <w:b/>
              </w:rPr>
              <w:t>Capital</w:t>
            </w:r>
          </w:p>
        </w:tc>
        <w:tc>
          <w:tcPr>
            <w:tcW w:type="dxa" w:w="2351"/>
            <w:shd w:val="clear" w:color="auto" w:fill="C6EFCE"/>
          </w:tcPr>
          <w:p>
            <w:pPr>
              <w:jc w:val="center"/>
            </w:pPr>
            <w:r>
              <w:t>95</w:t>
            </w:r>
          </w:p>
        </w:tc>
        <w:tc>
          <w:tcPr>
            <w:tcW w:type="dxa" w:w="2351"/>
          </w:tcPr>
          <w:p>
            <w:pPr>
              <w:jc w:val="center"/>
            </w:pPr>
            <w:r>
              <w:t>20%</w:t>
            </w:r>
          </w:p>
        </w:tc>
        <w:tc>
          <w:tcPr>
            <w:tcW w:type="dxa" w:w="2351"/>
          </w:tcPr>
          <w:p>
            <w:r>
              <w:t>Outstanding capital strength, primarily due to the reported zero total debt. This effectively results in a Debt-to-Equity ratio of 0, indicating a highly conservative and robust capital structure. While specific net worth figures are not provided, the scale of JLR's operations suggests substantial equity backing, and the complete absence of debt significantly de-risks the capital profile.</w:t>
            </w:r>
          </w:p>
        </w:tc>
      </w:tr>
      <w:tr>
        <w:tc>
          <w:tcPr>
            <w:tcW w:type="dxa" w:w="2351"/>
            <w:shd w:val="clear" w:color="auto" w:fill="E8F0FE"/>
          </w:tcPr>
          <w:p>
            <w:r>
              <w:rPr>
                <w:b/>
              </w:rPr>
              <w:t>Collateral</w:t>
            </w:r>
          </w:p>
        </w:tc>
        <w:tc>
          <w:tcPr>
            <w:tcW w:type="dxa" w:w="2351"/>
            <w:shd w:val="clear" w:color="auto" w:fill="C6EFCE"/>
          </w:tcPr>
          <w:p>
            <w:pPr>
              <w:jc w:val="center"/>
            </w:pPr>
            <w:r>
              <w:t>85</w:t>
            </w:r>
          </w:p>
        </w:tc>
        <w:tc>
          <w:tcPr>
            <w:tcW w:type="dxa" w:w="2351"/>
          </w:tcPr>
          <w:p>
            <w:pPr>
              <w:jc w:val="center"/>
            </w:pPr>
            <w:r>
              <w:t>15%</w:t>
            </w:r>
          </w:p>
        </w:tc>
        <w:tc>
          <w:tcPr>
            <w:tcW w:type="dxa" w:w="2351"/>
          </w:tcPr>
          <w:p>
            <w:r>
              <w:t>As the company reports zero total debt, there is no existing collateral pledged for current borrowings, which is a neutral point. However, as a large-scale global automotive manufacturer, Jaguar Land Rover (JLR) possesses substantial tangible assets, including state-of-the-art manufacturing plants, machinery, inventory, and valuable intellectual property. These assets would serve as excellent and ample collateral for any future financing needs, indicating a very high potential for strong security coverage.</w:t>
            </w:r>
          </w:p>
        </w:tc>
      </w:tr>
      <w:tr>
        <w:tc>
          <w:tcPr>
            <w:tcW w:type="dxa" w:w="2351"/>
            <w:shd w:val="clear" w:color="auto" w:fill="E8F0FE"/>
          </w:tcPr>
          <w:p>
            <w:r>
              <w:rPr>
                <w:b/>
              </w:rPr>
              <w:t>Conditions</w:t>
            </w:r>
          </w:p>
        </w:tc>
        <w:tc>
          <w:tcPr>
            <w:tcW w:type="dxa" w:w="2351"/>
            <w:shd w:val="clear" w:color="auto" w:fill="C6EFCE"/>
          </w:tcPr>
          <w:p>
            <w:pPr>
              <w:jc w:val="center"/>
            </w:pPr>
            <w:r>
              <w:t>70</w:t>
            </w:r>
          </w:p>
        </w:tc>
        <w:tc>
          <w:tcPr>
            <w:tcW w:type="dxa" w:w="2351"/>
          </w:tcPr>
          <w:p>
            <w:pPr>
              <w:jc w:val="center"/>
            </w:pPr>
            <w:r>
              <w:t>10%</w:t>
            </w:r>
          </w:p>
        </w:tc>
        <w:tc>
          <w:tcPr>
            <w:tcW w:type="dxa" w:w="2351"/>
          </w:tcPr>
          <w:p>
            <w:r>
              <w:t>The macroeconomic conditions are generally favorable, with a promising Indian economy outlook for 2025-26 and revival in consumption, positively impacting the manufacturing sector. The automotive sector's health is stable, and regulatory risks from RBI's increased compliance focus are manageable. However, the operating environment is significantly challenged by a recent cyberattack that has caused extended factory closures and is expected to materially impact JLR's FY25 profitability, presenting a severe company-specific external condition.</w:t>
            </w:r>
          </w:p>
        </w:tc>
      </w:tr>
      <w:tr>
        <w:tc>
          <w:tcPr>
            <w:tcW w:type="dxa" w:w="2351"/>
            <w:shd w:val="clear" w:color="auto" w:fill="1F3864"/>
          </w:tcPr>
          <w:p>
            <w:r>
              <w:rPr>
                <w:b/>
                <w:color w:val="FFFFFF"/>
              </w:rPr>
              <w:t>OVERALL SCORE</w:t>
            </w:r>
          </w:p>
        </w:tc>
        <w:tc>
          <w:tcPr>
            <w:tcW w:type="dxa" w:w="2351"/>
            <w:shd w:val="clear" w:color="auto" w:fill="BDD7EE"/>
          </w:tcPr>
          <w:p>
            <w:pPr>
              <w:jc w:val="center"/>
            </w:pPr>
            <w:r>
              <w:rPr>
                <w:b/>
              </w:rPr>
              <w:t>53.5/100</w:t>
            </w:r>
          </w:p>
        </w:tc>
        <w:tc>
          <w:tcPr>
            <w:tcW w:type="dxa" w:w="2351"/>
            <w:shd w:val="clear" w:color="auto" w:fill="BDD7EE"/>
          </w:tcPr>
          <w:p>
            <w:r>
              <w:rPr>
                <w:b/>
              </w:rPr>
              <w:t>Rating: B</w:t>
            </w:r>
          </w:p>
        </w:tc>
        <w:tc>
          <w:tcPr>
            <w:tcW w:type="dxa" w:w="2351"/>
          </w:tcPr>
          <w:p/>
        </w:tc>
      </w:tr>
    </w:tbl>
    <w:p/>
    <w:p>
      <w:pPr>
        <w:spacing w:before="240" w:after="120"/>
      </w:pPr>
      <w:r>
        <w:rPr>
          <w:b/>
          <w:color w:val="1F3864"/>
          <w:sz w:val="24"/>
        </w:rPr>
        <w:t>5. RISK ASSESSMENT</w:t>
      </w:r>
    </w:p>
    <w:p>
      <w:r>
        <w:t>A comprehensive 'Five Cs' assessment provides a balanced view of Tata Motors' (JLR) creditworthiness:</w:t>
        <w:br/>
        <w:br/>
        <w:t>**1. Character Assessment (Score: 95/100 - Excellent):**</w:t>
        <w:br/>
        <w:t>The character of the borrower is exceptionally strong, primarily driven by the impeccable reputation and governance standards of the Tata Group. The promoters, N. Chandrasekaran and Maloy Kumar Gupta, have an unblemished record, free from criminal cases or willful defaulter mentions. The successful corporate restructuring (slump sale mechanism) and favorable NCLT judgment reflect sophisticated management and strategic acumen. This high score underscores a strong ethical foundation and commitment to financial obligations.</w:t>
        <w:br/>
        <w:br/>
        <w:t>**2. Capacity Analysis (Score: 80/100 - Good with caveats):**</w:t>
        <w:br/>
        <w:t>JLR's current capacity for repayment is significantly bolstered by its zero total debt, meaning no existing debt servicing obligations. The healthy EBITDA margin of 14.3% indicates robust operational profitability. However, the capacity score is tempered by substantial near-term risks. The recent cyberattack is projected to impact JLR's FY25 profit and cause extended factory closures, which poses a direct threat to future cash flow generation and, consequently, repayment capacity for the requested working capital facility. The stable (non-growing) revenue trend also suggests a lack of immediate organic growth.</w:t>
        <w:br/>
        <w:br/>
        <w:t>**3. Capital Adequacy (Score: 95/100 - Outstanding):**</w:t>
        <w:br/>
        <w:t>Capital strength is outstanding, primarily due to the reported zero total debt. This results in an effective Debt-to-Equity ratio of 0, indicating a highly conservative and robust capital structure. While specific net worth figures are not provided, the complete absence of debt significantly de-risks the capital profile, offering substantial financial buffer and flexibility. This position of strength enhances the company's ability to absorb shocks.</w:t>
        <w:br/>
        <w:br/>
        <w:t>**4. Collateral Coverage (Score: 85/100 - Strong):**</w:t>
        <w:br/>
        <w:t>Given JLR's status as a major automotive manufacturer, it is assumed that substantial tangible and intangible assets are available for collateralization. This would typically include fixed assets (plant, machinery), current assets (inventory, receivables), and potentially intellectual property. The high score indicates a strong expectation of robust security cover for the proposed facility, consistent with industry norms for large corporate borrowers.</w:t>
        <w:br/>
        <w:br/>
        <w:t>**5. Conditions Review (Score: 70/100 - Moderate):**</w:t>
        <w:br/>
        <w:t>*   **Industry Conditions:** The automotive sector is assessed as 'Stable'. Regulatory risks are general (RBI focus on innovation, stability, fairness) and not specifically adverse to the automotive sector at present.</w:t>
        <w:br/>
        <w:t>*   **Company-Specific Conditions:** These are mixed. Positive conditions include a successful NCLT judgment reinforcing the slump sale mechanism. However, significant negative conditions arise from the recent cyberattack, which is expected to severely impact FY25 profitability and lead to extended factory closures. Although security flaws were reportedly fixed, the occurrence itself highlights operational vulnerabilities. These adverse events are critical considerations impacting the operating environment and future performance.</w:t>
      </w:r>
    </w:p>
    <w:p/>
    <w:p>
      <w:pPr>
        <w:spacing w:before="240" w:after="120"/>
      </w:pPr>
      <w:r>
        <w:rPr>
          <w:b/>
          <w:color w:val="1F3864"/>
          <w:sz w:val="24"/>
        </w:rPr>
        <w:t>6. EARLY WARNING SIGNALS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F0000"/>
          </w:tcPr>
          <w:p>
            <w:r>
              <w:rPr>
                <w:b/>
                <w:color w:val="FFFFFF"/>
              </w:rPr>
              <w:t>#</w:t>
            </w:r>
          </w:p>
        </w:tc>
        <w:tc>
          <w:tcPr>
            <w:tcW w:type="dxa" w:w="3135"/>
            <w:shd w:val="clear" w:color="auto" w:fill="FF0000"/>
          </w:tcPr>
          <w:p>
            <w:r>
              <w:rPr>
                <w:b/>
                <w:color w:val="FFFFFF"/>
              </w:rPr>
              <w:t>Warning Signal</w:t>
            </w:r>
          </w:p>
        </w:tc>
        <w:tc>
          <w:tcPr>
            <w:tcW w:type="dxa" w:w="3135"/>
            <w:shd w:val="clear" w:color="auto" w:fill="FF0000"/>
          </w:tcPr>
          <w:p>
            <w:r>
              <w:rPr>
                <w:b/>
                <w:color w:val="FFFFFF"/>
              </w:rPr>
              <w:t>Severity</w:t>
            </w:r>
          </w:p>
        </w:tc>
      </w:tr>
      <w:tr>
        <w:tc>
          <w:tcPr>
            <w:tcW w:type="dxa" w:w="3135"/>
          </w:tcPr>
          <w:p>
            <w:r>
              <w:t>1</w:t>
            </w:r>
          </w:p>
        </w:tc>
        <w:tc>
          <w:tcPr>
            <w:tcW w:type="dxa" w:w="3135"/>
          </w:tcPr>
          <w:p>
            <w:r>
              <w:t>Security flaws exposing company and customer data</w:t>
            </w:r>
          </w:p>
        </w:tc>
        <w:tc>
          <w:tcPr>
            <w:tcW w:type="dxa" w:w="3135"/>
          </w:tcPr>
          <w:p>
            <w:r>
              <w:t>LOW</w:t>
            </w:r>
          </w:p>
        </w:tc>
      </w:tr>
      <w:tr>
        <w:tc>
          <w:tcPr>
            <w:tcW w:type="dxa" w:w="3135"/>
          </w:tcPr>
          <w:p>
            <w:r>
              <w:t>2</w:t>
            </w:r>
          </w:p>
        </w:tc>
        <w:tc>
          <w:tcPr>
            <w:tcW w:type="dxa" w:w="3135"/>
          </w:tcPr>
          <w:p>
            <w:r>
              <w:t>Extended factory closure due to cyberattack</w:t>
            </w:r>
          </w:p>
        </w:tc>
        <w:tc>
          <w:tcPr>
            <w:tcW w:type="dxa" w:w="3135"/>
          </w:tcPr>
          <w:p>
            <w:r>
              <w:t>LOW</w:t>
            </w:r>
          </w:p>
        </w:tc>
      </w:tr>
      <w:tr>
        <w:tc>
          <w:tcPr>
            <w:tcW w:type="dxa" w:w="3135"/>
          </w:tcPr>
          <w:p>
            <w:r>
              <w:t>3</w:t>
            </w:r>
          </w:p>
        </w:tc>
        <w:tc>
          <w:tcPr>
            <w:tcW w:type="dxa" w:w="3135"/>
          </w:tcPr>
          <w:p>
            <w:r>
              <w:t>Cyberattack impacting JLR's FY25 profit</w:t>
            </w:r>
          </w:p>
        </w:tc>
        <w:tc>
          <w:tcPr>
            <w:tcW w:type="dxa" w:w="3135"/>
          </w:tcPr>
          <w:p>
            <w:r>
              <w:t>LOW</w:t>
            </w:r>
          </w:p>
        </w:tc>
      </w:tr>
    </w:tbl>
    <w:p/>
    <w:p>
      <w:pPr>
        <w:spacing w:before="240" w:after="120"/>
      </w:pPr>
      <w:r>
        <w:rPr>
          <w:b/>
          <w:color w:val="1F3864"/>
          <w:sz w:val="24"/>
        </w:rPr>
        <w:t>7. RECOMMENDATION &amp; DECISION</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shd w:val="clear" w:color="auto" w:fill="E8F0FE"/>
          </w:tcPr>
          <w:p>
            <w:r>
              <w:rPr>
                <w:b/>
              </w:rPr>
              <w:t>CREDIT DECISION</w:t>
            </w:r>
          </w:p>
        </w:tc>
        <w:tc>
          <w:tcPr>
            <w:tcW w:type="dxa" w:w="4703"/>
            <w:shd w:val="clear" w:color="auto" w:fill="FFEB9C"/>
          </w:tcPr>
          <w:p>
            <w:r>
              <w:rPr>
                <w:b/>
              </w:rPr>
              <w:t>CONDITIONAL_APPROVE</w:t>
            </w:r>
          </w:p>
        </w:tc>
      </w:tr>
      <w:tr>
        <w:tc>
          <w:tcPr>
            <w:tcW w:type="dxa" w:w="4703"/>
            <w:shd w:val="clear" w:color="auto" w:fill="E8F0FE"/>
          </w:tcPr>
          <w:p>
            <w:r>
              <w:rPr>
                <w:b/>
              </w:rPr>
              <w:t>Recommended Amount</w:t>
            </w:r>
          </w:p>
        </w:tc>
        <w:tc>
          <w:tcPr>
            <w:tcW w:type="dxa" w:w="4703"/>
          </w:tcPr>
          <w:p>
            <w:r>
              <w:t>₹ 250 Crores</w:t>
            </w:r>
          </w:p>
        </w:tc>
      </w:tr>
      <w:tr>
        <w:tc>
          <w:tcPr>
            <w:tcW w:type="dxa" w:w="4703"/>
            <w:shd w:val="clear" w:color="auto" w:fill="E8F0FE"/>
          </w:tcPr>
          <w:p>
            <w:r>
              <w:rPr>
                <w:b/>
              </w:rPr>
              <w:t>Interest Rate</w:t>
            </w:r>
          </w:p>
        </w:tc>
        <w:tc>
          <w:tcPr>
            <w:tcW w:type="dxa" w:w="4703"/>
          </w:tcPr>
          <w:p>
            <w:r>
              <w:t>15.0% p.a.</w:t>
            </w:r>
          </w:p>
        </w:tc>
      </w:tr>
      <w:tr>
        <w:tc>
          <w:tcPr>
            <w:tcW w:type="dxa" w:w="4703"/>
            <w:shd w:val="clear" w:color="auto" w:fill="E8F0FE"/>
          </w:tcPr>
          <w:p>
            <w:r>
              <w:rPr>
                <w:b/>
              </w:rPr>
              <w:t>Tenure</w:t>
            </w:r>
          </w:p>
        </w:tc>
        <w:tc>
          <w:tcPr>
            <w:tcW w:type="dxa" w:w="4703"/>
          </w:tcPr>
          <w:p>
            <w:r>
              <w:t>24 months</w:t>
            </w:r>
          </w:p>
        </w:tc>
      </w:tr>
      <w:tr>
        <w:tc>
          <w:tcPr>
            <w:tcW w:type="dxa" w:w="4703"/>
            <w:shd w:val="clear" w:color="auto" w:fill="E8F0FE"/>
          </w:tcPr>
          <w:p>
            <w:r>
              <w:rPr>
                <w:b/>
              </w:rPr>
              <w:t>Risk Premium</w:t>
            </w:r>
          </w:p>
        </w:tc>
        <w:tc>
          <w:tcPr>
            <w:tcW w:type="dxa" w:w="4703"/>
          </w:tcPr>
          <w:p>
            <w:r>
              <w:t>4.5%</w:t>
            </w:r>
          </w:p>
        </w:tc>
      </w:tr>
      <w:tr>
        <w:tc>
          <w:tcPr>
            <w:tcW w:type="dxa" w:w="4703"/>
            <w:shd w:val="clear" w:color="auto" w:fill="E8F0FE"/>
          </w:tcPr>
          <w:p>
            <w:r>
              <w:rPr>
                <w:b/>
              </w:rPr>
              <w:t>Credit Rating</w:t>
            </w:r>
          </w:p>
        </w:tc>
        <w:tc>
          <w:tcPr>
            <w:tcW w:type="dxa" w:w="4703"/>
          </w:tcPr>
          <w:p>
            <w:r>
              <w:t>B</w:t>
            </w:r>
          </w:p>
        </w:tc>
      </w:tr>
    </w:tbl>
    <w:p/>
    <w:p>
      <w:r>
        <w:rPr>
          <w:b/>
          <w:color w:val="1F3864"/>
        </w:rPr>
        <w:t>Decision Rationale:</w:t>
      </w:r>
    </w:p>
    <w:p>
      <w:r>
        <w:t>As a Senior Credit Officer at Vivriti Capital, I have carefully reviewed Tata Motors Limited's (with a focus on its JLR operations) 5 Cs assessment and financial data.</w:t>
        <w:br/>
        <w:br/>
        <w:t>The company demonstrates exceptional strengths in **Character (95)** and **Capital (95)**. The Tata Group's impeccable reputation, strong governance, and the promoters' clean track record provide significant comfort. The reported zero total debt translates to a Debt-to-Equity ratio of 0, indicating an extraordinarily robust and conservative capital structure, offering substantial buffer against unforeseen challenges.</w:t>
        <w:br/>
        <w:br/>
        <w:t>However, significant concerns arise under **Capacity (80)** and **Conditions (70)**, which have heavily influenced the final risk score. While the current EBITDA margin of 14.3% is healthy and the absence of existing debt servicing obligations is ideal, the stated 'stable (non-growing) revenue trend' and, more critically, the 'significant risk signals from a recent cyberattack, which is projected to impact JLR's FY25 profit and cause extended factory closures,' are major red flags. This operational disruption directly impacts future cash flow generation and repayment capacity, leading to considerable uncertainty in the near term.</w:t>
        <w:br/>
        <w:br/>
        <w:t>The calculated Risk Score of 53.5, which includes a substantial penalty of 33.0 points (evidently due to the JLR cyberattack and its operational implications), results in a 'B' rating. This rating signals a higher risk profile for an NBFC lending scenario, despite the underlying financial strength and parentage.</w:t>
        <w:br/>
        <w:br/>
        <w:t>Given the strong fundamentals balanced against the severe, immediate operational disruption and its projected impact on FY25 profitability, a **CONDITIONAL APPROVAL** is recommended. The loan amount is intentionally conservative at INR 250 Crores, acknowledging the explicit instruction to reduce the loan amount when 'factory at low capacity' is mentioned, which directly applies to 'extended factory closures' due to the cyberattack. This amount is designed to provide immediate liquidity without exposing Vivriti Capital to excessive risk given the current operational uncertainties.</w:t>
        <w:br/>
        <w:br/>
        <w:t>An interest rate of 15.0% has been assigned, calculated as the Base Rate (10.5%) plus a risk premium of 4.5%. This premium is at the higher end for a 'BB/B' rated entity, reflecting the significant operational risks posed by the cyberattack and its potential for cash flow disruption. A shorter tenure of 24 months is proposed to allow for a quicker review and recalibration once the full impact and recovery trajectory of the cyber incident become clearer. The outlined key conditions are crucial to monitor recovery, secure Vivriti Capital's interest, and ensure responsible utilization of funds.</w:t>
      </w:r>
    </w:p>
    <w:p/>
    <w:p>
      <w:r>
        <w:rPr>
          <w:b/>
          <w:color w:val="1F3864"/>
        </w:rPr>
        <w:t>Conditions Precedent:</w:t>
      </w:r>
    </w:p>
    <w:p>
      <w:pPr>
        <w:pStyle w:val="ListNumber"/>
      </w:pPr>
      <w:r>
        <w:t>1. Detailed recovery plan for the cyberattack impact, including timelines for factory re-opening and projected production ramp-up, to be submitted within 30 days.</w:t>
      </w:r>
    </w:p>
    <w:p>
      <w:pPr>
        <w:pStyle w:val="ListNumber"/>
      </w:pPr>
      <w:r>
        <w:t>2. Monthly financial reporting specific to JLR's operational performance, cash flow generation, and revenue recovery post-cyberattack.</w:t>
      </w:r>
    </w:p>
    <w:p>
      <w:pPr>
        <w:pStyle w:val="ListNumber"/>
      </w:pPr>
      <w:r>
        <w:t>3. Maintenance of current Debt-to-Equity ratio (or a pre-agreed maximum threshold) for Tata Motors consolidated entity, demonstrating continued capital strength.</w:t>
      </w:r>
    </w:p>
    <w:p>
      <w:pPr>
        <w:pStyle w:val="ListNumber"/>
      </w:pPr>
      <w:r>
        <w:t>4. Provision of specific security/charge on unencumbered fixed assets of Tata Motors or JLR to Vivriti Capital.</w:t>
      </w:r>
    </w:p>
    <w:p>
      <w:pPr>
        <w:pStyle w:val="ListNumber"/>
      </w:pPr>
      <w:r>
        <w:t>5. Loan proceeds to be utilized strictly for working capital requirements or immediate operational expenditures to mitigate the impact of factory closures.</w:t>
      </w:r>
    </w:p>
    <w:p>
      <w:pPr>
        <w:pStyle w:val="ListNumber"/>
      </w:pPr>
      <w:r>
        <w:t>6. No material adverse change in business operations or financial health that could further impair repayment capacity during the loan tenure.</w:t>
      </w:r>
    </w:p>
    <w:p>
      <w:pPr>
        <w:pStyle w:val="ListNumber"/>
      </w:pPr>
      <w:r>
        <w:t>7. Vivriti Capital to have the right to request additional collateral or accelerate repayment if operational recovery significantly deviates from the agreed plan.</w:t>
      </w:r>
    </w:p>
    <w:p/>
    <w:p>
      <w:pPr>
        <w:pBdr>
          <w:bottom w:val="single" w:sz="6" w:space="1" w:color="1F3864"/>
        </w:pBdr>
      </w:pPr>
    </w:p>
    <w:p>
      <w:pPr>
        <w:jc w:val="center"/>
      </w:pPr>
      <w:r>
        <w:rPr>
          <w:color w:val="808080"/>
          <w:sz w:val="16"/>
        </w:rPr>
        <w:t>Generated by Intelli-Credit AI Engine  |  DOMINIX  |  06-Mar-2026 09:27  |  CONFIDENTIAL - For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