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8C"/>
          <w:sz w:val="32"/>
        </w:rPr>
        <w:t>VIVRITI CAPITAL LIMITED</w:t>
      </w:r>
    </w:p>
    <w:p>
      <w:pPr>
        <w:jc w:val="center"/>
      </w:pPr>
      <w:r>
        <w:rPr>
          <w:b/>
          <w:sz w:val="26"/>
        </w:rPr>
        <w:t>Credit Appraisal Memorandum (CAM)</w:t>
      </w:r>
    </w:p>
    <w:p>
      <w:pPr>
        <w:pBdr>
          <w:bottom w:val="single" w:sz="6" w:space="1" w:color="1F3864"/>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rPr>
              <w:t>Company Name</w:t>
            </w:r>
          </w:p>
        </w:tc>
        <w:tc>
          <w:tcPr>
            <w:tcW w:type="dxa" w:w="2351"/>
          </w:tcPr>
          <w:p>
            <w:r>
              <w:t>Tata</w:t>
            </w:r>
          </w:p>
        </w:tc>
        <w:tc>
          <w:tcPr>
            <w:tcW w:type="dxa" w:w="2351"/>
            <w:shd w:val="clear" w:color="auto" w:fill="E8F0FE"/>
          </w:tcPr>
          <w:p>
            <w:r>
              <w:rPr>
                <w:b/>
              </w:rPr>
              <w:t>Date</w:t>
            </w:r>
          </w:p>
        </w:tc>
        <w:tc>
          <w:tcPr>
            <w:tcW w:type="dxa" w:w="2351"/>
          </w:tcPr>
          <w:p>
            <w:r>
              <w:t>06-Mar-2026</w:t>
            </w:r>
          </w:p>
        </w:tc>
      </w:tr>
      <w:tr>
        <w:tc>
          <w:tcPr>
            <w:tcW w:type="dxa" w:w="2351"/>
            <w:shd w:val="clear" w:color="auto" w:fill="E8F0FE"/>
          </w:tcPr>
          <w:p>
            <w:r>
              <w:rPr>
                <w:b/>
              </w:rPr>
              <w:t>Loan Amount</w:t>
            </w:r>
          </w:p>
        </w:tc>
        <w:tc>
          <w:tcPr>
            <w:tcW w:type="dxa" w:w="2351"/>
          </w:tcPr>
          <w:p>
            <w:r>
              <w:t>Not specified</w:t>
            </w:r>
          </w:p>
        </w:tc>
        <w:tc>
          <w:tcPr>
            <w:tcW w:type="dxa" w:w="2351"/>
            <w:shd w:val="clear" w:color="auto" w:fill="E8F0FE"/>
          </w:tcPr>
          <w:p>
            <w:r>
              <w:rPr>
                <w:b/>
              </w:rPr>
              <w:t>Purpose</w:t>
            </w:r>
          </w:p>
        </w:tc>
        <w:tc>
          <w:tcPr>
            <w:tcW w:type="dxa" w:w="2351"/>
          </w:tcPr>
          <w:p>
            <w:r>
              <w:t>General Corporate Purpose</w:t>
            </w:r>
          </w:p>
        </w:tc>
      </w:tr>
    </w:tbl>
    <w:p/>
    <w:p>
      <w:pPr>
        <w:spacing w:before="240" w:after="120"/>
      </w:pPr>
      <w:r>
        <w:rPr>
          <w:b/>
          <w:color w:val="1F3864"/>
          <w:sz w:val="24"/>
        </w:rPr>
        <w:t>1. EXECUTIVE SUMMARY</w:t>
      </w:r>
    </w:p>
    <w:p>
      <w:r>
        <w:t>This Credit Appraisal Memo (CAM) evaluates a loan request from Tata Motors Limited for General Corporate Purpose. Based on the available information, which notably lacks critical financial data, a comprehensive assessment of the company's financial health and repayment capacity is not possible. Key financial metrics such as revenue, profitability, cash flow, balance sheet items, and vital ratios are entirely missing. Furthermore, significant governance and character concerns have been identified within the broader Tata Group, including an active CBI fraud investigation against Tata Consulting Engineers (INR 804 Cr), regulatory settlements by Tata Capital with SEBI, and past high-profile legal disputes. Given the severe information asymmetry regarding financial performance and the identified group-level reputational and governance risks, the loan request is **REJECTED**.</w:t>
      </w:r>
    </w:p>
    <w:p>
      <w:pPr>
        <w:jc w:val="center"/>
        <w:shd w:val="clear" w:color="auto" w:fill="FF0000"/>
      </w:pPr>
      <w:r>
        <w:rPr>
          <w:b/>
          <w:color w:val="FFFFFF"/>
          <w:sz w:val="24"/>
        </w:rPr>
        <w:t xml:space="preserve">  RECOMMENDATION: REJECT  </w:t>
      </w:r>
    </w:p>
    <w:p/>
    <w:p>
      <w:pPr>
        <w:spacing w:before="240" w:after="120"/>
      </w:pPr>
      <w:r>
        <w:rPr>
          <w:b/>
          <w:color w:val="1F3864"/>
          <w:sz w:val="24"/>
        </w:rPr>
        <w:t>2. COMPANY BACKGROUND</w:t>
      </w:r>
    </w:p>
    <w:p>
      <w:r>
        <w:t xml:space="preserve">Tata Motors Limited, a flagship entity of the diversified Tata Group, is a prominent global automobile manufacturer. The company is known for its wide range of passenger cars, trucks, buses, and defence vehicles, holding a significant market presence in India and internationally. </w:t>
        <w:br/>
        <w:br/>
        <w:t>**Promoter Profile:** The promoter group, Tata Sons Private Limited, leads the extensive Tata conglomerate. While generally reputed for corporate governance and long-term vision, the promoter group's reputation is currently assessed as 'Mixed' (Risk Level: Medium). This is significantly influenced by an active Central Bureau of Investigation (CBI) fraud case against Tata Consulting Engineers (a Tata Group entity) for INR 804 Crores, indicating criminal proceedings. Additionally, Tata Capital has recently settled regulatory matters with SEBI, and the group navigated a bitter, high-profile legal battle with Cyrus Mistry, which, though resolved, highlighted past governance challenges at the leadership level. These events introduce material character risk despite the broader brand strength. No specific details on the directorship or incorporation year for Tata Motors Limited were provided.</w:t>
        <w:br/>
        <w:br/>
        <w:t>**Corporate Structure:** Tata Motors Limited operates as a publicly listed company, forming a critical part of the larger Tata Group ecosystem, with Tata Sons Private Limited as its principal holding company.</w:t>
      </w:r>
    </w:p>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Details</w:t>
            </w:r>
          </w:p>
        </w:tc>
      </w:tr>
      <w:tr>
        <w:tc>
          <w:tcPr>
            <w:tcW w:type="dxa" w:w="4703"/>
            <w:shd w:val="clear" w:color="auto" w:fill="E8F0FE"/>
          </w:tcPr>
          <w:p>
            <w:r>
              <w:rPr>
                <w:b/>
              </w:rPr>
              <w:t>Company Name</w:t>
            </w:r>
          </w:p>
        </w:tc>
        <w:tc>
          <w:tcPr>
            <w:tcW w:type="dxa" w:w="4703"/>
          </w:tcPr>
          <w:p>
            <w:r>
              <w:t>Tata Motors Limited</w:t>
            </w:r>
          </w:p>
        </w:tc>
      </w:tr>
      <w:tr>
        <w:tc>
          <w:tcPr>
            <w:tcW w:type="dxa" w:w="4703"/>
            <w:shd w:val="clear" w:color="auto" w:fill="E8F0FE"/>
          </w:tcPr>
          <w:p>
            <w:r>
              <w:rPr>
                <w:b/>
              </w:rPr>
              <w:t>CIN</w:t>
            </w:r>
          </w:p>
        </w:tc>
        <w:tc>
          <w:tcPr>
            <w:tcW w:type="dxa" w:w="4703"/>
          </w:tcPr>
          <w:p>
            <w:r>
              <w:t>N/A</w:t>
            </w:r>
          </w:p>
        </w:tc>
      </w:tr>
      <w:tr>
        <w:tc>
          <w:tcPr>
            <w:tcW w:type="dxa" w:w="4703"/>
            <w:shd w:val="clear" w:color="auto" w:fill="E8F0FE"/>
          </w:tcPr>
          <w:p>
            <w:r>
              <w:rPr>
                <w:b/>
              </w:rPr>
              <w:t>Registered Address</w:t>
            </w:r>
          </w:p>
        </w:tc>
        <w:tc>
          <w:tcPr>
            <w:tcW w:type="dxa" w:w="4703"/>
          </w:tcPr>
          <w:p>
            <w:r>
              <w:t>N/A</w:t>
            </w:r>
          </w:p>
        </w:tc>
      </w:tr>
      <w:tr>
        <w:tc>
          <w:tcPr>
            <w:tcW w:type="dxa" w:w="4703"/>
            <w:shd w:val="clear" w:color="auto" w:fill="E8F0FE"/>
          </w:tcPr>
          <w:p>
            <w:r>
              <w:rPr>
                <w:b/>
              </w:rPr>
              <w:t>Nature of Business</w:t>
            </w:r>
          </w:p>
        </w:tc>
        <w:tc>
          <w:tcPr>
            <w:tcW w:type="dxa" w:w="4703"/>
          </w:tcPr>
          <w:p>
            <w:r>
              <w:t>N/A</w:t>
            </w:r>
          </w:p>
        </w:tc>
      </w:tr>
      <w:tr>
        <w:tc>
          <w:tcPr>
            <w:tcW w:type="dxa" w:w="4703"/>
            <w:shd w:val="clear" w:color="auto" w:fill="E8F0FE"/>
          </w:tcPr>
          <w:p>
            <w:r>
              <w:rPr>
                <w:b/>
              </w:rPr>
              <w:t>Year of Incorporation</w:t>
            </w:r>
          </w:p>
        </w:tc>
        <w:tc>
          <w:tcPr>
            <w:tcW w:type="dxa" w:w="4703"/>
          </w:tcPr>
          <w:p>
            <w:r>
              <w:t>None</w:t>
            </w:r>
          </w:p>
        </w:tc>
      </w:tr>
      <w:tr>
        <w:tc>
          <w:tcPr>
            <w:tcW w:type="dxa" w:w="4703"/>
            <w:shd w:val="clear" w:color="auto" w:fill="E8F0FE"/>
          </w:tcPr>
          <w:p>
            <w:r>
              <w:rPr>
                <w:b/>
              </w:rPr>
              <w:t>Directors/Promoters</w:t>
            </w:r>
          </w:p>
        </w:tc>
        <w:tc>
          <w:tcPr>
            <w:tcW w:type="dxa" w:w="4703"/>
          </w:tcPr>
          <w:p>
            <w:r>
              <w:t>N/A</w:t>
            </w:r>
          </w:p>
        </w:tc>
      </w:tr>
    </w:tbl>
    <w:p/>
    <w:p>
      <w:pPr>
        <w:spacing w:before="240" w:after="120"/>
      </w:pPr>
      <w:r>
        <w:rPr>
          <w:b/>
          <w:color w:val="1F3864"/>
          <w:sz w:val="24"/>
        </w:rPr>
        <w:t>3. FINANCIAL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Financial Metric</w:t>
            </w:r>
          </w:p>
        </w:tc>
        <w:tc>
          <w:tcPr>
            <w:tcW w:type="dxa" w:w="3135"/>
            <w:shd w:val="clear" w:color="auto" w:fill="1F3864"/>
          </w:tcPr>
          <w:p>
            <w:r>
              <w:rPr>
                <w:b/>
                <w:color w:val="FFFFFF"/>
              </w:rPr>
              <w:t>Current Year (₹ Cr)</w:t>
            </w:r>
          </w:p>
        </w:tc>
        <w:tc>
          <w:tcPr>
            <w:tcW w:type="dxa" w:w="3135"/>
            <w:shd w:val="clear" w:color="auto" w:fill="1F3864"/>
          </w:tcPr>
          <w:p>
            <w:r>
              <w:rPr>
                <w:b/>
                <w:color w:val="FFFFFF"/>
              </w:rPr>
              <w:t>Assessment</w:t>
            </w:r>
          </w:p>
        </w:tc>
      </w:tr>
      <w:tr>
        <w:tc>
          <w:tcPr>
            <w:tcW w:type="dxa" w:w="3135"/>
            <w:shd w:val="clear" w:color="auto" w:fill="E8F0FE"/>
          </w:tcPr>
          <w:p>
            <w:r>
              <w:rPr>
                <w:b/>
              </w:rPr>
              <w:t>Total Revenue/Turnover</w:t>
            </w:r>
          </w:p>
        </w:tc>
        <w:tc>
          <w:tcPr>
            <w:tcW w:type="dxa" w:w="3135"/>
          </w:tcPr>
          <w:p>
            <w:pPr>
              <w:jc w:val="center"/>
            </w:pPr>
            <w:r>
              <w:t>N/A</w:t>
            </w:r>
          </w:p>
        </w:tc>
        <w:tc>
          <w:tcPr>
            <w:tcW w:type="dxa" w:w="3135"/>
          </w:tcPr>
          <w:p>
            <w:r>
              <w:t>N/A</w:t>
            </w:r>
          </w:p>
        </w:tc>
      </w:tr>
      <w:tr>
        <w:tc>
          <w:tcPr>
            <w:tcW w:type="dxa" w:w="3135"/>
            <w:shd w:val="clear" w:color="auto" w:fill="E8F0FE"/>
          </w:tcPr>
          <w:p>
            <w:r>
              <w:rPr>
                <w:b/>
              </w:rPr>
              <w:t>EBITDA</w:t>
            </w:r>
          </w:p>
        </w:tc>
        <w:tc>
          <w:tcPr>
            <w:tcW w:type="dxa" w:w="3135"/>
          </w:tcPr>
          <w:p>
            <w:pPr>
              <w:jc w:val="center"/>
            </w:pPr>
            <w:r>
              <w:t>N/A</w:t>
            </w:r>
          </w:p>
        </w:tc>
        <w:tc>
          <w:tcPr>
            <w:tcW w:type="dxa" w:w="3135"/>
          </w:tcPr>
          <w:p>
            <w:r>
              <w:t>N/A</w:t>
            </w:r>
          </w:p>
        </w:tc>
      </w:tr>
      <w:tr>
        <w:tc>
          <w:tcPr>
            <w:tcW w:type="dxa" w:w="3135"/>
            <w:shd w:val="clear" w:color="auto" w:fill="E8F0FE"/>
          </w:tcPr>
          <w:p>
            <w:r>
              <w:rPr>
                <w:b/>
              </w:rPr>
              <w:t>PAT (Profit After Tax)</w:t>
            </w:r>
          </w:p>
        </w:tc>
        <w:tc>
          <w:tcPr>
            <w:tcW w:type="dxa" w:w="3135"/>
          </w:tcPr>
          <w:p>
            <w:pPr>
              <w:jc w:val="center"/>
            </w:pPr>
            <w:r>
              <w:t>N/A</w:t>
            </w:r>
          </w:p>
        </w:tc>
        <w:tc>
          <w:tcPr>
            <w:tcW w:type="dxa" w:w="3135"/>
          </w:tcPr>
          <w:p>
            <w:r>
              <w:t>N/A</w:t>
            </w:r>
          </w:p>
        </w:tc>
      </w:tr>
      <w:tr>
        <w:tc>
          <w:tcPr>
            <w:tcW w:type="dxa" w:w="3135"/>
            <w:shd w:val="clear" w:color="auto" w:fill="E8F0FE"/>
          </w:tcPr>
          <w:p>
            <w:r>
              <w:rPr>
                <w:b/>
              </w:rPr>
              <w:t>Total Assets</w:t>
            </w:r>
          </w:p>
        </w:tc>
        <w:tc>
          <w:tcPr>
            <w:tcW w:type="dxa" w:w="3135"/>
          </w:tcPr>
          <w:p>
            <w:pPr>
              <w:jc w:val="center"/>
            </w:pPr>
            <w:r>
              <w:t>N/A</w:t>
            </w:r>
          </w:p>
        </w:tc>
        <w:tc>
          <w:tcPr>
            <w:tcW w:type="dxa" w:w="3135"/>
          </w:tcPr>
          <w:p>
            <w:r>
              <w:t>—</w:t>
            </w:r>
          </w:p>
        </w:tc>
      </w:tr>
      <w:tr>
        <w:tc>
          <w:tcPr>
            <w:tcW w:type="dxa" w:w="3135"/>
            <w:shd w:val="clear" w:color="auto" w:fill="E8F0FE"/>
          </w:tcPr>
          <w:p>
            <w:r>
              <w:rPr>
                <w:b/>
              </w:rPr>
              <w:t>Net Worth / Equity</w:t>
            </w:r>
          </w:p>
        </w:tc>
        <w:tc>
          <w:tcPr>
            <w:tcW w:type="dxa" w:w="3135"/>
          </w:tcPr>
          <w:p>
            <w:pPr>
              <w:jc w:val="center"/>
            </w:pPr>
            <w:r>
              <w:t>N/A</w:t>
            </w:r>
          </w:p>
        </w:tc>
        <w:tc>
          <w:tcPr>
            <w:tcW w:type="dxa" w:w="3135"/>
          </w:tcPr>
          <w:p>
            <w:r>
              <w:t>N/A</w:t>
            </w:r>
          </w:p>
        </w:tc>
      </w:tr>
      <w:tr>
        <w:tc>
          <w:tcPr>
            <w:tcW w:type="dxa" w:w="3135"/>
            <w:shd w:val="clear" w:color="auto" w:fill="E8F0FE"/>
          </w:tcPr>
          <w:p>
            <w:r>
              <w:rPr>
                <w:b/>
              </w:rPr>
              <w:t>Total Debt / Borrowings</w:t>
            </w:r>
          </w:p>
        </w:tc>
        <w:tc>
          <w:tcPr>
            <w:tcW w:type="dxa" w:w="3135"/>
          </w:tcPr>
          <w:p>
            <w:pPr>
              <w:jc w:val="center"/>
            </w:pPr>
            <w:r>
              <w:t>N/A</w:t>
            </w:r>
          </w:p>
        </w:tc>
        <w:tc>
          <w:tcPr>
            <w:tcW w:type="dxa" w:w="3135"/>
          </w:tcPr>
          <w:p>
            <w:r>
              <w:t>—</w:t>
            </w:r>
          </w:p>
        </w:tc>
      </w:tr>
      <w:tr>
        <w:tc>
          <w:tcPr>
            <w:tcW w:type="dxa" w:w="3135"/>
            <w:shd w:val="clear" w:color="auto" w:fill="E8F0FE"/>
          </w:tcPr>
          <w:p>
            <w:r>
              <w:rPr>
                <w:b/>
              </w:rPr>
              <w:t>Current Ratio</w:t>
            </w:r>
          </w:p>
        </w:tc>
        <w:tc>
          <w:tcPr>
            <w:tcW w:type="dxa" w:w="3135"/>
          </w:tcPr>
          <w:p>
            <w:pPr>
              <w:jc w:val="center"/>
            </w:pPr>
            <w:r>
              <w:t>N/A</w:t>
            </w:r>
          </w:p>
        </w:tc>
        <w:tc>
          <w:tcPr>
            <w:tcW w:type="dxa" w:w="3135"/>
          </w:tcPr>
          <w:p>
            <w:r>
              <w:t>N/A</w:t>
            </w:r>
          </w:p>
        </w:tc>
      </w:tr>
      <w:tr>
        <w:tc>
          <w:tcPr>
            <w:tcW w:type="dxa" w:w="3135"/>
            <w:shd w:val="clear" w:color="auto" w:fill="E8F0FE"/>
          </w:tcPr>
          <w:p>
            <w:r>
              <w:rPr>
                <w:b/>
              </w:rPr>
              <w:t>Debt to Equity</w:t>
            </w:r>
          </w:p>
        </w:tc>
        <w:tc>
          <w:tcPr>
            <w:tcW w:type="dxa" w:w="3135"/>
          </w:tcPr>
          <w:p>
            <w:pPr>
              <w:jc w:val="center"/>
            </w:pPr>
            <w:r>
              <w:t>N/A</w:t>
            </w:r>
          </w:p>
        </w:tc>
        <w:tc>
          <w:tcPr>
            <w:tcW w:type="dxa" w:w="3135"/>
          </w:tcPr>
          <w:p>
            <w:r>
              <w:t>N/A</w:t>
            </w:r>
          </w:p>
        </w:tc>
      </w:tr>
    </w:tbl>
    <w:p/>
    <w:p>
      <w:pPr>
        <w:spacing w:before="240" w:after="120"/>
      </w:pPr>
      <w:r>
        <w:rPr>
          <w:b/>
          <w:color w:val="1F3864"/>
          <w:sz w:val="24"/>
        </w:rPr>
        <w:t>4. FIVE Cs CREDIT ASSESSMENT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Credit Factor</w:t>
            </w:r>
          </w:p>
        </w:tc>
        <w:tc>
          <w:tcPr>
            <w:tcW w:type="dxa" w:w="2351"/>
            <w:shd w:val="clear" w:color="auto" w:fill="1F3864"/>
          </w:tcPr>
          <w:p>
            <w:r>
              <w:rPr>
                <w:b/>
                <w:color w:val="FFFFFF"/>
              </w:rPr>
              <w:t>Score (0-100)</w:t>
            </w:r>
          </w:p>
        </w:tc>
        <w:tc>
          <w:tcPr>
            <w:tcW w:type="dxa" w:w="2351"/>
            <w:shd w:val="clear" w:color="auto" w:fill="1F3864"/>
          </w:tcPr>
          <w:p>
            <w:r>
              <w:rPr>
                <w:b/>
                <w:color w:val="FFFFFF"/>
              </w:rPr>
              <w:t>Weight</w:t>
            </w:r>
          </w:p>
        </w:tc>
        <w:tc>
          <w:tcPr>
            <w:tcW w:type="dxa" w:w="2351"/>
            <w:shd w:val="clear" w:color="auto" w:fill="1F3864"/>
          </w:tcPr>
          <w:p>
            <w:r>
              <w:rPr>
                <w:b/>
                <w:color w:val="FFFFFF"/>
              </w:rPr>
              <w:t>Rationale</w:t>
            </w:r>
          </w:p>
        </w:tc>
      </w:tr>
      <w:tr>
        <w:tc>
          <w:tcPr>
            <w:tcW w:type="dxa" w:w="2351"/>
            <w:shd w:val="clear" w:color="auto" w:fill="E8F0FE"/>
          </w:tcPr>
          <w:p>
            <w:r>
              <w:rPr>
                <w:b/>
              </w:rPr>
              <w:t>Character</w:t>
            </w:r>
          </w:p>
        </w:tc>
        <w:tc>
          <w:tcPr>
            <w:tcW w:type="dxa" w:w="2351"/>
            <w:shd w:val="clear" w:color="auto" w:fill="FFC7CE"/>
          </w:tcPr>
          <w:p>
            <w:pPr>
              <w:jc w:val="center"/>
            </w:pPr>
            <w:r>
              <w:t>45</w:t>
            </w:r>
          </w:p>
        </w:tc>
        <w:tc>
          <w:tcPr>
            <w:tcW w:type="dxa" w:w="2351"/>
          </w:tcPr>
          <w:p>
            <w:pPr>
              <w:jc w:val="center"/>
            </w:pPr>
            <w:r>
              <w:t>25%</w:t>
            </w:r>
          </w:p>
        </w:tc>
        <w:tc>
          <w:tcPr>
            <w:tcW w:type="dxa" w:w="2351"/>
          </w:tcPr>
          <w:p>
            <w:r>
              <w:t>The promoter group's reputation is mixed, significantly impacted by an active CBI fraud investigation against a Tata Group entity (Tata Consulting Engineers) for ₹804 Cr, which indicates criminal proceedings. While Tata Motors itself has no reported NPA mentions, the group-level legal battles (e.g., Cyrus Mistry dispute, though resolved) highlight past governance challenges. This introduces material character risk despite the broader Tata brand strength.</w:t>
            </w:r>
          </w:p>
        </w:tc>
      </w:tr>
      <w:tr>
        <w:tc>
          <w:tcPr>
            <w:tcW w:type="dxa" w:w="2351"/>
            <w:shd w:val="clear" w:color="auto" w:fill="E8F0FE"/>
          </w:tcPr>
          <w:p>
            <w:r>
              <w:rPr>
                <w:b/>
              </w:rPr>
              <w:t>Capacity</w:t>
            </w:r>
          </w:p>
        </w:tc>
        <w:tc>
          <w:tcPr>
            <w:tcW w:type="dxa" w:w="2351"/>
            <w:shd w:val="clear" w:color="auto" w:fill="FFC7CE"/>
          </w:tcPr>
          <w:p>
            <w:pPr>
              <w:jc w:val="center"/>
            </w:pPr>
            <w:r>
              <w:t>15</w:t>
            </w:r>
          </w:p>
        </w:tc>
        <w:tc>
          <w:tcPr>
            <w:tcW w:type="dxa" w:w="2351"/>
          </w:tcPr>
          <w:p>
            <w:pPr>
              <w:jc w:val="center"/>
            </w:pPr>
            <w:r>
              <w:t>30%</w:t>
            </w:r>
          </w:p>
        </w:tc>
        <w:tc>
          <w:tcPr>
            <w:tcW w:type="dxa" w:w="2351"/>
          </w:tcPr>
          <w:p>
            <w:r>
              <w:t>Critical financial data essential for assessing repayment capacity, such as revenue trends (current and previous), EBITDA, PAT, current ratio, and Debt Service Coverage Ratio (DSCR), are entirely missing. Without these fundamental metrics, it is impossible to evaluate the company's operational strength, cash flow generation ability, or its capacity to service debt obligations. This represents a severe and unacceptable information gap for a credit assessment.</w:t>
            </w:r>
          </w:p>
        </w:tc>
      </w:tr>
      <w:tr>
        <w:tc>
          <w:tcPr>
            <w:tcW w:type="dxa" w:w="2351"/>
            <w:shd w:val="clear" w:color="auto" w:fill="E8F0FE"/>
          </w:tcPr>
          <w:p>
            <w:r>
              <w:rPr>
                <w:b/>
              </w:rPr>
              <w:t>Capital</w:t>
            </w:r>
          </w:p>
        </w:tc>
        <w:tc>
          <w:tcPr>
            <w:tcW w:type="dxa" w:w="2351"/>
            <w:shd w:val="clear" w:color="auto" w:fill="FFC7CE"/>
          </w:tcPr>
          <w:p>
            <w:pPr>
              <w:jc w:val="center"/>
            </w:pPr>
            <w:r>
              <w:t>15</w:t>
            </w:r>
          </w:p>
        </w:tc>
        <w:tc>
          <w:tcPr>
            <w:tcW w:type="dxa" w:w="2351"/>
          </w:tcPr>
          <w:p>
            <w:pPr>
              <w:jc w:val="center"/>
            </w:pPr>
            <w:r>
              <w:t>20%</w:t>
            </w:r>
          </w:p>
        </w:tc>
        <w:tc>
          <w:tcPr>
            <w:tcW w:type="dxa" w:w="2351"/>
          </w:tcPr>
          <w:p>
            <w:r>
              <w:t>Key capital structure information, including total assets, net worth, total debt, and the debt-to-equity ratio, is completely absent. This deficiency prevents any meaningful evaluation of the company's financial resilience, leverage position, and the adequacy of its own funds to absorb potential losses. The lack of this core data makes a sound assessment of financial strength and capital adequacy impossible.</w:t>
            </w:r>
          </w:p>
        </w:tc>
      </w:tr>
      <w:tr>
        <w:tc>
          <w:tcPr>
            <w:tcW w:type="dxa" w:w="2351"/>
            <w:shd w:val="clear" w:color="auto" w:fill="E8F0FE"/>
          </w:tcPr>
          <w:p>
            <w:r>
              <w:rPr>
                <w:b/>
              </w:rPr>
              <w:t>Collateral</w:t>
            </w:r>
          </w:p>
        </w:tc>
        <w:tc>
          <w:tcPr>
            <w:tcW w:type="dxa" w:w="2351"/>
            <w:shd w:val="clear" w:color="auto" w:fill="FFC7CE"/>
          </w:tcPr>
          <w:p>
            <w:pPr>
              <w:jc w:val="center"/>
            </w:pPr>
            <w:r>
              <w:t>15</w:t>
            </w:r>
          </w:p>
        </w:tc>
        <w:tc>
          <w:tcPr>
            <w:tcW w:type="dxa" w:w="2351"/>
          </w:tcPr>
          <w:p>
            <w:pPr>
              <w:jc w:val="center"/>
            </w:pPr>
            <w:r>
              <w:t>15%</w:t>
            </w:r>
          </w:p>
        </w:tc>
        <w:tc>
          <w:tcPr>
            <w:tcW w:type="dxa" w:w="2351"/>
          </w:tcPr>
          <w:p>
            <w:r>
              <w:t>There is no information provided regarding available collateral, its quality, type (immovable/movable), or any security coverage ratios. Without details on assets offered as security, their valuation, or the extent of existing encumbrances, it is impossible to assess the security available for the proposed lending and the potential for recovery in the event of default. This represents a critical lack of information for collateral assessment.</w:t>
            </w:r>
          </w:p>
        </w:tc>
      </w:tr>
      <w:tr>
        <w:tc>
          <w:tcPr>
            <w:tcW w:type="dxa" w:w="2351"/>
            <w:shd w:val="clear" w:color="auto" w:fill="E8F0FE"/>
          </w:tcPr>
          <w:p>
            <w:r>
              <w:rPr>
                <w:b/>
              </w:rPr>
              <w:t>Conditions</w:t>
            </w:r>
          </w:p>
        </w:tc>
        <w:tc>
          <w:tcPr>
            <w:tcW w:type="dxa" w:w="2351"/>
            <w:shd w:val="clear" w:color="auto" w:fill="C6EFCE"/>
          </w:tcPr>
          <w:p>
            <w:pPr>
              <w:jc w:val="center"/>
            </w:pPr>
            <w:r>
              <w:t>80</w:t>
            </w:r>
          </w:p>
        </w:tc>
        <w:tc>
          <w:tcPr>
            <w:tcW w:type="dxa" w:w="2351"/>
          </w:tcPr>
          <w:p>
            <w:pPr>
              <w:jc w:val="center"/>
            </w:pPr>
            <w:r>
              <w:t>10%</w:t>
            </w:r>
          </w:p>
        </w:tc>
        <w:tc>
          <w:tcPr>
            <w:tcW w:type="dxa" w:w="2351"/>
          </w:tcPr>
          <w:p>
            <w:r>
              <w:t>The sector health is described as stable, and the broader Indian economy is projected to be promising in 2025-26, indicating a generally favorable macroeconomic environment. No specific sector-wide regulatory risks are highlighted, although Tata Capital faced specific regulatory settlements which is distinct from sector conditions. This supportive external backdrop positively influences the operational environment.</w:t>
            </w:r>
          </w:p>
        </w:tc>
      </w:tr>
      <w:tr>
        <w:tc>
          <w:tcPr>
            <w:tcW w:type="dxa" w:w="2351"/>
            <w:shd w:val="clear" w:color="auto" w:fill="1F3864"/>
          </w:tcPr>
          <w:p>
            <w:r>
              <w:rPr>
                <w:b/>
                <w:color w:val="FFFFFF"/>
              </w:rPr>
              <w:t>OVERALL SCORE</w:t>
            </w:r>
          </w:p>
        </w:tc>
        <w:tc>
          <w:tcPr>
            <w:tcW w:type="dxa" w:w="2351"/>
            <w:shd w:val="clear" w:color="auto" w:fill="BDD7EE"/>
          </w:tcPr>
          <w:p>
            <w:pPr>
              <w:jc w:val="center"/>
            </w:pPr>
            <w:r>
              <w:rPr>
                <w:b/>
              </w:rPr>
              <w:t>0/100</w:t>
            </w:r>
          </w:p>
        </w:tc>
        <w:tc>
          <w:tcPr>
            <w:tcW w:type="dxa" w:w="2351"/>
            <w:shd w:val="clear" w:color="auto" w:fill="BDD7EE"/>
          </w:tcPr>
          <w:p>
            <w:r>
              <w:rPr>
                <w:b/>
              </w:rPr>
              <w:t>Rating: D</w:t>
            </w:r>
          </w:p>
        </w:tc>
        <w:tc>
          <w:tcPr>
            <w:tcW w:type="dxa" w:w="2351"/>
          </w:tcPr>
          <w:p/>
        </w:tc>
      </w:tr>
    </w:tbl>
    <w:p/>
    <w:p>
      <w:pPr>
        <w:spacing w:before="240" w:after="120"/>
      </w:pPr>
      <w:r>
        <w:rPr>
          <w:b/>
          <w:color w:val="1F3864"/>
          <w:sz w:val="24"/>
        </w:rPr>
        <w:t>5. RISK ASSESSMENT</w:t>
      </w:r>
    </w:p>
    <w:p>
      <w:r>
        <w:t>**1. Character Assessment (Score: 45/100 - High Risk):</w:t>
        <w:br/>
        <w:t>** The promoter group's reputation, while generally strong, is currently mixed and presents significant concerns. An active CBI fraud investigation against Tata Consulting Engineers for INR 804 Crores, which involves criminal proceedings, directly impacts the group's perceived integrity. The regulatory settlements by Tata Capital with SEBI further indicate compliance lapses within group entities. While the high-profile legal battle with Cyrus Mistry has been resolved, it underscored past governance challenges and leadership disputes. These incidents introduce material character risk, challenging the perception of consistent high-level governance and ethical conduct across all group entities.</w:t>
        <w:br/>
        <w:br/>
        <w:t>**2. Capacity Analysis (Score: 15/100 - Extremely High Risk):</w:t>
        <w:br/>
        <w:t>** This is a critical deficiency. A credit assessment of repayment capacity is rendered impossible due to the complete absence of fundamental financial data. Critical metrics such as revenue trends, EBITDA, PAT, and the Current Ratio, which are indispensable for evaluating operational strength, cash flow generation, and debt servicing ability, are not available. Without these, any assessment of the company's capacity to generate sufficient cash flows to repay the requested loan is speculative and baseless.</w:t>
        <w:br/>
        <w:br/>
        <w:t>**3. Capital Adequacy (Score: 15/100 - Extremely High Risk):</w:t>
        <w:br/>
        <w:t>** Similar to Capacity, the assessment of Capital is severely hindered by missing information. Key capital structure details, including total assets, net worth, total debt, and the Debt-to-Equity ratio, are entirely absent. This prevents any meaningful evaluation of the company's financial resilience, leverage position, and the adequacy of its own funds to absorb potential losses. The lack of this core data makes a sound assessment of financial strength and capital adequacy unfeasible.</w:t>
        <w:br/>
        <w:br/>
        <w:t>**4. Collateral Coverage (Not Assessed / Unknown):</w:t>
        <w:br/>
        <w:t>** No information regarding collateral for the requested loan or the company's existing secured assets has been provided in the financial summary or debt profile. Therefore, an assessment of collateral coverage is not possible.</w:t>
        <w:br/>
        <w:br/>
        <w:t>**5. Conditions Review (General Corporate Purpose / Medium Lending Risk):</w:t>
        <w:br/>
        <w:t>** The loan purpose is 'General Corporate Purpose', which is broad and lacks specificity, requiring a strong underlying financial position and character. While the sector health is noted as 'Stable', the overall lending risk for this transaction is assessed as 'Medium' primarily due to the severe information gaps and group-level risks, not due to specific sector headwinds.</w:t>
      </w:r>
    </w:p>
    <w:p/>
    <w:p>
      <w:pPr>
        <w:spacing w:before="240" w:after="120"/>
      </w:pPr>
      <w:r>
        <w:rPr>
          <w:b/>
          <w:color w:val="1F3864"/>
          <w:sz w:val="24"/>
        </w:rPr>
        <w:t>6. EARLY WARNING SIGNALS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F0000"/>
          </w:tcPr>
          <w:p>
            <w:r>
              <w:rPr>
                <w:b/>
                <w:color w:val="FFFFFF"/>
              </w:rPr>
              <w:t>#</w:t>
            </w:r>
          </w:p>
        </w:tc>
        <w:tc>
          <w:tcPr>
            <w:tcW w:type="dxa" w:w="3135"/>
            <w:shd w:val="clear" w:color="auto" w:fill="FF0000"/>
          </w:tcPr>
          <w:p>
            <w:r>
              <w:rPr>
                <w:b/>
                <w:color w:val="FFFFFF"/>
              </w:rPr>
              <w:t>Warning Signal</w:t>
            </w:r>
          </w:p>
        </w:tc>
        <w:tc>
          <w:tcPr>
            <w:tcW w:type="dxa" w:w="3135"/>
            <w:shd w:val="clear" w:color="auto" w:fill="FF0000"/>
          </w:tcPr>
          <w:p>
            <w:r>
              <w:rPr>
                <w:b/>
                <w:color w:val="FFFFFF"/>
              </w:rPr>
              <w:t>Severity</w:t>
            </w:r>
          </w:p>
        </w:tc>
      </w:tr>
      <w:tr>
        <w:tc>
          <w:tcPr>
            <w:tcW w:type="dxa" w:w="3135"/>
          </w:tcPr>
          <w:p>
            <w:r>
              <w:t>1</w:t>
            </w:r>
          </w:p>
        </w:tc>
        <w:tc>
          <w:tcPr>
            <w:tcW w:type="dxa" w:w="3135"/>
          </w:tcPr>
          <w:p>
            <w:r>
              <w:t>Tata Capital settled regulatory matters with SEBI</w:t>
            </w:r>
          </w:p>
        </w:tc>
        <w:tc>
          <w:tcPr>
            <w:tcW w:type="dxa" w:w="3135"/>
          </w:tcPr>
          <w:p>
            <w:r>
              <w:t>LOW</w:t>
            </w:r>
          </w:p>
        </w:tc>
      </w:tr>
      <w:tr>
        <w:tc>
          <w:tcPr>
            <w:tcW w:type="dxa" w:w="3135"/>
          </w:tcPr>
          <w:p>
            <w:r>
              <w:t>2</w:t>
            </w:r>
          </w:p>
        </w:tc>
        <w:tc>
          <w:tcPr>
            <w:tcW w:type="dxa" w:w="3135"/>
          </w:tcPr>
          <w:p>
            <w:r>
              <w:t>Bitter legal battle with Cyrus Mistry impacting governance</w:t>
            </w:r>
          </w:p>
        </w:tc>
        <w:tc>
          <w:tcPr>
            <w:tcW w:type="dxa" w:w="3135"/>
          </w:tcPr>
          <w:p>
            <w:r>
              <w:t>LOW</w:t>
            </w:r>
          </w:p>
        </w:tc>
      </w:tr>
      <w:tr>
        <w:tc>
          <w:tcPr>
            <w:tcW w:type="dxa" w:w="3135"/>
          </w:tcPr>
          <w:p>
            <w:r>
              <w:t>3</w:t>
            </w:r>
          </w:p>
        </w:tc>
        <w:tc>
          <w:tcPr>
            <w:tcW w:type="dxa" w:w="3135"/>
          </w:tcPr>
          <w:p>
            <w:r>
              <w:t>CBI booked Tata Consulting Engineers for 804cr fraud</w:t>
            </w:r>
          </w:p>
        </w:tc>
        <w:tc>
          <w:tcPr>
            <w:tcW w:type="dxa" w:w="3135"/>
          </w:tcPr>
          <w:p>
            <w:r>
              <w:t>LOW</w:t>
            </w:r>
          </w:p>
        </w:tc>
      </w:tr>
    </w:tbl>
    <w:p/>
    <w:p>
      <w:pPr>
        <w:spacing w:before="240" w:after="120"/>
      </w:pPr>
      <w:r>
        <w:rPr>
          <w:b/>
          <w:color w:val="1F3864"/>
          <w:sz w:val="24"/>
        </w:rPr>
        <w:t>7. RECOMMENDATION &amp; DECISION</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shd w:val="clear" w:color="auto" w:fill="E8F0FE"/>
          </w:tcPr>
          <w:p>
            <w:r>
              <w:rPr>
                <w:b/>
              </w:rPr>
              <w:t>CREDIT DECISION</w:t>
            </w:r>
          </w:p>
        </w:tc>
        <w:tc>
          <w:tcPr>
            <w:tcW w:type="dxa" w:w="4703"/>
            <w:shd w:val="clear" w:color="auto" w:fill="FFC7CE"/>
          </w:tcPr>
          <w:p>
            <w:r>
              <w:rPr>
                <w:b/>
              </w:rPr>
              <w:t>REJECT</w:t>
            </w:r>
          </w:p>
        </w:tc>
      </w:tr>
      <w:tr>
        <w:tc>
          <w:tcPr>
            <w:tcW w:type="dxa" w:w="4703"/>
            <w:shd w:val="clear" w:color="auto" w:fill="E8F0FE"/>
          </w:tcPr>
          <w:p>
            <w:r>
              <w:rPr>
                <w:b/>
              </w:rPr>
              <w:t>Recommended Amount</w:t>
            </w:r>
          </w:p>
        </w:tc>
        <w:tc>
          <w:tcPr>
            <w:tcW w:type="dxa" w:w="4703"/>
          </w:tcPr>
          <w:p>
            <w:r>
              <w:t>N/A</w:t>
            </w:r>
          </w:p>
        </w:tc>
      </w:tr>
      <w:tr>
        <w:tc>
          <w:tcPr>
            <w:tcW w:type="dxa" w:w="4703"/>
            <w:shd w:val="clear" w:color="auto" w:fill="E8F0FE"/>
          </w:tcPr>
          <w:p>
            <w:r>
              <w:rPr>
                <w:b/>
              </w:rPr>
              <w:t>Interest Rate</w:t>
            </w:r>
          </w:p>
        </w:tc>
        <w:tc>
          <w:tcPr>
            <w:tcW w:type="dxa" w:w="4703"/>
          </w:tcPr>
          <w:p>
            <w:r>
              <w:t>N/A</w:t>
            </w:r>
          </w:p>
        </w:tc>
      </w:tr>
      <w:tr>
        <w:tc>
          <w:tcPr>
            <w:tcW w:type="dxa" w:w="4703"/>
            <w:shd w:val="clear" w:color="auto" w:fill="E8F0FE"/>
          </w:tcPr>
          <w:p>
            <w:r>
              <w:rPr>
                <w:b/>
              </w:rPr>
              <w:t>Tenure</w:t>
            </w:r>
          </w:p>
        </w:tc>
        <w:tc>
          <w:tcPr>
            <w:tcW w:type="dxa" w:w="4703"/>
          </w:tcPr>
          <w:p>
            <w:r>
              <w:t>N/A</w:t>
            </w:r>
          </w:p>
        </w:tc>
      </w:tr>
      <w:tr>
        <w:tc>
          <w:tcPr>
            <w:tcW w:type="dxa" w:w="4703"/>
            <w:shd w:val="clear" w:color="auto" w:fill="E8F0FE"/>
          </w:tcPr>
          <w:p>
            <w:r>
              <w:rPr>
                <w:b/>
              </w:rPr>
              <w:t>Risk Premium</w:t>
            </w:r>
          </w:p>
        </w:tc>
        <w:tc>
          <w:tcPr>
            <w:tcW w:type="dxa" w:w="4703"/>
          </w:tcPr>
          <w:p>
            <w:r>
              <w:t>0.0%</w:t>
            </w:r>
          </w:p>
        </w:tc>
      </w:tr>
      <w:tr>
        <w:tc>
          <w:tcPr>
            <w:tcW w:type="dxa" w:w="4703"/>
            <w:shd w:val="clear" w:color="auto" w:fill="E8F0FE"/>
          </w:tcPr>
          <w:p>
            <w:r>
              <w:rPr>
                <w:b/>
              </w:rPr>
              <w:t>Credit Rating</w:t>
            </w:r>
          </w:p>
        </w:tc>
        <w:tc>
          <w:tcPr>
            <w:tcW w:type="dxa" w:w="4703"/>
          </w:tcPr>
          <w:p>
            <w:r>
              <w:t>D</w:t>
            </w:r>
          </w:p>
        </w:tc>
      </w:tr>
    </w:tbl>
    <w:p/>
    <w:p>
      <w:r>
        <w:rPr>
          <w:b/>
          <w:color w:val="1F3864"/>
        </w:rPr>
        <w:t>Decision Rationale:</w:t>
      </w:r>
    </w:p>
    <w:p>
      <w:r>
        <w:t xml:space="preserve">As a Senior Credit Officer at Vivriti Capital, I must recommend a REJECT for this loan application. The core reason for this decision is the severe and unacceptable lack of fundamental financial information required to assess the company's creditworthiness. </w:t>
        <w:br/>
        <w:br/>
        <w:t>1.  **Missing Critical Data (Capacity &amp; Capital):** The Five Cs assessment explicitly highlights that 'critical financial data essential for assessing repayment capacity' (e.g., revenue, EBITDA, PAT, current ratio, DSCR) and 'key capital structure information' (e.g., total assets, net worth, total debt, debt-to-equity ratio) are 'entirely missing' or 'completely absent'. This is reflected in the extremely low Capacity score of 15 and Capital score of 15. Without these foundational metrics, it is impossible to evaluate Tata Motors Limited's operational strength, cash flow generation, ability to service debt, or its financial resilience and leverage position. Lending without this data would expose Vivriti Capital to unacceptable and unquantifiable risk.</w:t>
        <w:br/>
        <w:br/>
        <w:t>2.  **'D' Credit Rating:** The comprehensive Risk Score assigns a final score of 0 and a 'D' rating. As per Vivriti Capital's interest rate guidelines, a 'CCC/D' rating mandates an automatic REJECT. No interest rate or loan terms are calculable for such a rating.</w:t>
        <w:br/>
        <w:br/>
        <w:t>3.  **Character Concerns (Group Level):** While Tata Motors itself has no reported NPA mentions, the Character score of 45 reflects concerns arising from an active CBI fraud investigation against a Tata Group entity (Tata Consulting Engineers) for ₹804 Cr, indicating criminal proceedings at the group level. While not directly against Tata Motors Limited, such group-level legal battles and past governance challenges (e.g., Cyrus Mistry dispute, though resolved) introduce material character risk that cannot be overlooked, especially given the overall data deficiencies.</w:t>
        <w:br/>
        <w:br/>
        <w:t>In summary, the complete absence of critical financial data makes any prudent credit decision impossible, and the resulting 'D' rating unequivocally leads to a rejection under our policy. The risk premium is stated as 0 as no loan is being offered, and therefore, no premium is applicable or calculated for a rejected proposal.</w:t>
      </w:r>
    </w:p>
    <w:p/>
    <w:p>
      <w:r>
        <w:rPr>
          <w:b/>
          <w:color w:val="FF0000"/>
        </w:rPr>
        <w:t>Reason for Rejection:</w:t>
      </w:r>
    </w:p>
    <w:p>
      <w:r>
        <w:t>Rejection is primarily due to the complete absence of critical financial and capital structure data, rendering a meaningful credit assessment impossible. Additionally, the assigned 'D' rating necessitates an automatic rejection as per Vivriti Capital's lending guidelines.</w:t>
      </w:r>
    </w:p>
    <w:p/>
    <w:p>
      <w:pPr>
        <w:pBdr>
          <w:bottom w:val="single" w:sz="6" w:space="1" w:color="1F3864"/>
        </w:pBdr>
      </w:pPr>
    </w:p>
    <w:p>
      <w:pPr>
        <w:jc w:val="center"/>
      </w:pPr>
      <w:r>
        <w:rPr>
          <w:color w:val="808080"/>
          <w:sz w:val="16"/>
        </w:rPr>
        <w:t>Generated by Intelli-Credit AI Engine  |  DOMINIX  |  06-Mar-2026 09:14  |  CONFIDENTIAL - For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