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UGRO</w:t>
            </w:r>
          </w:p>
        </w:tc>
        <w:tc>
          <w:tcPr>
            <w:tcW w:type="dxa" w:w="3324"/>
            <w:shd w:val="clear" w:color="auto" w:fill="1B3A6B"/>
          </w:tcPr>
          <w:p>
            <w:pPr>
              <w:jc w:val="center"/>
            </w:pPr>
            <w:r>
              <w:rPr>
                <w:b/>
                <w:color w:val="D68910"/>
                <w:sz w:val="26"/>
              </w:rPr>
              <w:t>CONDITIONAL_APPROVE</w:t>
              <w:br/>
            </w:r>
            <w:r>
              <w:rPr>
                <w:b/>
                <w:color w:val="FFFFFF"/>
                <w:sz w:val="22"/>
              </w:rPr>
              <w:t>Rating: BB</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64.16/100</w:t>
            </w:r>
          </w:p>
        </w:tc>
        <w:tc>
          <w:tcPr>
            <w:tcW w:type="dxa" w:w="1994"/>
            <w:shd w:val="clear" w:color="auto" w:fill="E8F0FA"/>
          </w:tcPr>
          <w:p>
            <w:pPr>
              <w:jc w:val="center"/>
            </w:pPr>
            <w:r>
              <w:rPr>
                <w:b/>
              </w:rPr>
              <w:t>BB</w:t>
            </w:r>
          </w:p>
        </w:tc>
        <w:tc>
          <w:tcPr>
            <w:tcW w:type="dxa" w:w="1994"/>
            <w:shd w:val="clear" w:color="auto" w:fill="E8F0FA"/>
          </w:tcPr>
          <w:p>
            <w:pPr>
              <w:jc w:val="center"/>
            </w:pPr>
            <w:r>
              <w:rPr>
                <w:b/>
              </w:rPr>
              <w:t>CONDITIONAL_APPROVE</w:t>
            </w:r>
          </w:p>
        </w:tc>
        <w:tc>
          <w:tcPr>
            <w:tcW w:type="dxa" w:w="1994"/>
            <w:shd w:val="clear" w:color="auto" w:fill="E8F0FA"/>
          </w:tcPr>
          <w:p>
            <w:pPr>
              <w:jc w:val="center"/>
            </w:pPr>
            <w:r>
              <w:rPr>
                <w:b/>
              </w:rPr>
              <w:t>₹22.0 Cr</w:t>
            </w:r>
          </w:p>
        </w:tc>
        <w:tc>
          <w:tcPr>
            <w:tcW w:type="dxa" w:w="1994"/>
            <w:shd w:val="clear" w:color="auto" w:fill="E8F0FA"/>
          </w:tcPr>
          <w:p>
            <w:pPr>
              <w:jc w:val="center"/>
            </w:pPr>
            <w:r>
              <w:rPr>
                <w:b/>
              </w:rPr>
              <w:t>14.0%</w:t>
            </w:r>
          </w:p>
        </w:tc>
      </w:tr>
    </w:tbl>
    <w:p/>
    <w:p>
      <w:r>
        <w:rPr>
          <w:b/>
        </w:rPr>
        <w:t xml:space="preserve">Decision Rationale: </w:t>
      </w:r>
      <w:r>
        <w:t>Blended score 64.16/100 with rating BB. Five-Cs weighted score after penalties: 60.04. Entity type assessed as corporate. Recommendation is CONDITIONAL_APPROVE based on calibrated thresholds and policy floors.</w:t>
      </w:r>
    </w:p>
    <w:p/>
    <w:p>
      <w:r>
        <w:rPr>
          <w:b/>
        </w:rPr>
        <w:t xml:space="preserve">Date of Appraisal: </w:t>
      </w:r>
      <w:r>
        <w:t>22 March 2026</w:t>
      </w:r>
    </w:p>
    <w:p>
      <w:pPr>
        <w:jc w:val="left"/>
      </w:pPr>
      <w:r>
        <w:rPr>
          <w:b/>
          <w:color w:val="1B3A6B"/>
          <w:sz w:val="24"/>
          <w:u w:val="single"/>
        </w:rPr>
        <w:t>SWOT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F5F5F5"/>
          </w:tcPr>
          <w:p>
            <w:r>
              <w:rPr>
                <w:b/>
                <w:color w:val="1E8449"/>
              </w:rPr>
              <w:t xml:space="preserve"> STRENGTHS</w:t>
            </w:r>
          </w:p>
          <w:p>
            <w:pPr>
              <w:pStyle w:val="ListBullet"/>
              <w:ind w:left="288"/>
            </w:pPr>
            <w:r>
              <w:t>• Strong AUM Growth: Assets Under Management (AUM) grew by a robust 20% year-on-year to INR 12,226 Cr as of September 30, 2025, indicating strong business traction.</w:t>
            </w:r>
          </w:p>
          <w:p>
            <w:pPr>
              <w:pStyle w:val="ListBullet"/>
              <w:ind w:left="288"/>
            </w:pPr>
            <w:r>
              <w:t>• High Operational Efficiency: Demonstrated by an impressive EBITDA margin of 33.6% for FY25, reflecting effective cost management and core operational profitability.</w:t>
            </w:r>
          </w:p>
          <w:p>
            <w:pPr>
              <w:pStyle w:val="ListBullet"/>
              <w:ind w:left="288"/>
            </w:pPr>
            <w:r>
              <w:t>• Substantial Asset Base: Supported by Total Assets of INR 9168.31 Crores and a significant pool of managed assets (AUM) of INR 12,226 Crores, providing a strong foundation.</w:t>
            </w:r>
          </w:p>
          <w:p>
            <w:pPr>
              <w:pStyle w:val="ListBullet"/>
              <w:ind w:left="288"/>
            </w:pPr>
            <w:r>
              <w:t>• Strong Governance and Promoter Integrity: Evidenced by a 'Good' promoter reputation, 'Low' MCA risk (no director disqualifications or filing defaults), and no identified wilful defaulter status or criminal cases.</w:t>
            </w:r>
          </w:p>
        </w:tc>
        <w:tc>
          <w:tcPr>
            <w:tcW w:type="dxa" w:w="4986"/>
            <w:shd w:val="clear" w:color="auto" w:fill="F5F5F5"/>
          </w:tcPr>
          <w:p>
            <w:r>
              <w:rPr>
                <w:b/>
                <w:color w:val="C0392B"/>
              </w:rPr>
              <w:t xml:space="preserve"> WEAKNESSES</w:t>
            </w:r>
          </w:p>
          <w:p>
            <w:pPr>
              <w:pStyle w:val="ListBullet"/>
              <w:ind w:left="288"/>
            </w:pPr>
            <w:r>
              <w:t>• High Leverage: Significant reliance on borrowings reflected in a high Debt-Equity ratio of 3.4x, indicating a limited equity cushion (Net Worth: INR 2046.0 Cr) and increased financial risk.</w:t>
            </w:r>
          </w:p>
          <w:p>
            <w:pPr>
              <w:pStyle w:val="ListBullet"/>
              <w:ind w:left="288"/>
            </w:pPr>
            <w:r>
              <w:t>• Limited Debt Servicing Buffer: A low Interest Coverage Ratio (ICR) of 1.86x suggests constrained ability to comfortably cover interest expenses from operating profits.</w:t>
            </w:r>
          </w:p>
          <w:p>
            <w:pPr>
              <w:pStyle w:val="ListBullet"/>
              <w:ind w:left="288"/>
            </w:pPr>
            <w:r>
              <w:t>• Declining Asset Profitability: Return on Managed Assets (ROMA) decreased from 1.4% in FY24 to 1.2% in FY25, indicating pressure on asset-level profitability.</w:t>
            </w:r>
          </w:p>
          <w:p>
            <w:pPr>
              <w:pStyle w:val="ListBullet"/>
              <w:ind w:left="288"/>
            </w:pPr>
            <w:r>
              <w:t>• Concentration on Borrowings: Total borrowings of INR 6956.4 Crores represent a substantial portion of the capital structure, increasing refinancing risk.</w:t>
            </w:r>
          </w:p>
        </w:tc>
      </w:tr>
      <w:tr>
        <w:tc>
          <w:tcPr>
            <w:tcW w:type="dxa" w:w="4986"/>
            <w:shd w:val="clear" w:color="auto" w:fill="F5F5F5"/>
          </w:tcPr>
          <w:p>
            <w:r>
              <w:rPr>
                <w:b/>
                <w:color w:val="2471A3"/>
              </w:rPr>
              <w:t xml:space="preserve"> OPPORTUNITIES</w:t>
            </w:r>
          </w:p>
          <w:p>
            <w:pPr>
              <w:pStyle w:val="ListBullet"/>
              <w:ind w:left="288"/>
            </w:pPr>
            <w:r>
              <w:t>• Market Expansion via Sustained AUM Growth: The consistent 20% year-on-year growth in AUM (INR 12,226 Cr) presents a strong opportunity for further market penetration and scaling operations within the NBFC sector.</w:t>
            </w:r>
          </w:p>
          <w:p>
            <w:pPr>
              <w:pStyle w:val="ListBullet"/>
              <w:ind w:left="288"/>
            </w:pPr>
            <w:r>
              <w:t>• Leveraging Asset Base for Strategic Growth: The substantial asset base (Total Assets INR 9168.31 Cr) and AUM can be strategically leveraged to access further funding, diversify offerings, and pursue growth initiatives.</w:t>
            </w:r>
          </w:p>
          <w:p>
            <w:pPr>
              <w:pStyle w:val="ListBullet"/>
              <w:ind w:left="288"/>
            </w:pPr>
            <w:r>
              <w:t>• Growth in Dynamic NBFC Sector: Operating in a generally dynamic and growing Indian NBFC sector offers potential for continued business expansion and diversification, given stable macroeconomic conditions.</w:t>
            </w:r>
          </w:p>
        </w:tc>
        <w:tc>
          <w:tcPr>
            <w:tcW w:type="dxa" w:w="4986"/>
            <w:shd w:val="clear" w:color="auto" w:fill="F5F5F5"/>
          </w:tcPr>
          <w:p>
            <w:r>
              <w:rPr>
                <w:b/>
                <w:color w:val="D68910"/>
              </w:rPr>
              <w:t xml:space="preserve"> THREATS</w:t>
            </w:r>
          </w:p>
          <w:p>
            <w:pPr>
              <w:pStyle w:val="ListBullet"/>
              <w:ind w:left="288"/>
            </w:pPr>
            <w:r>
              <w:t>• Legal and Regulatory Challenges: Ongoing legal disputes, including an NCLT case and company appeals, pose potential risks of financial liabilities, increased legal costs, and operational distraction.</w:t>
            </w:r>
          </w:p>
          <w:p>
            <w:pPr>
              <w:pStyle w:val="ListBullet"/>
              <w:ind w:left="288"/>
            </w:pPr>
            <w:r>
              <w:t>• Sensitivity to Interest Rate Fluctuations: The combination of high leverage (D/E 3.4x) and a low Interest Coverage Ratio (1.86x) makes the company highly vulnerable to adverse shifts in interest rates, impacting profitability and debt servicing capacity.</w:t>
            </w:r>
          </w:p>
          <w:p>
            <w:pPr>
              <w:pStyle w:val="ListBullet"/>
              <w:ind w:left="288"/>
            </w:pPr>
            <w:r>
              <w:t>• Pressure on Asset Quality and Profitability: A sustained decline in Return on Managed Assets (ROMA) coupled with potential risks to asset quality could erode profitability and investor confidence in the long term.</w:t>
            </w:r>
          </w:p>
          <w:p>
            <w:pPr>
              <w:pStyle w:val="ListBullet"/>
              <w:ind w:left="288"/>
            </w:pPr>
            <w:r>
              <w:t>• Refinancing Risk: High dependence on external borrowings (INR 6956.4 Cr) means that any tightening in credit markets or adverse changes in lender sentiment could pose challenges to refinancing existing debt.</w:t>
            </w:r>
          </w:p>
        </w:tc>
      </w:tr>
    </w:tbl>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UGRO Capital</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Mr. Satyananda Mishra, Mr. Shachindra Nath, Mr. Karuppasamy Singam, Mr. Karnam Sekar, Mr. Hemant Bhargava, Mr. Rajeev Krishnamuralilal Agarwal, Ms. Tabassum Abdulla Inamdar, Mr. Suresh Eshwara Prabhala, Mr. Chetan Kulbhushan Gupta, Mr. Rohit Goyal</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Financial values for FY25 (ending March 31, 2025) are primarily sourced from the summary table (Table 3), which states values in Crores. Revenue, Profit After Tax, Net Worth, and Debt to Equity Ratio are directly from Table 3. Total Borrowings is inferred using the Debt to Equity ratio (3.4) and Net Worth (2,046 Crores): Debt = 3.4 * 2046 = 6956.4 Crores. Total Assets is taken from Table 8's total liabilities and equity (916,831.22 Lakhs = 9168.31 Crores). EBITDA is calculated as Profit Before Tax (203.12 Crores from Table 9) + Finance Costs (235.58 Crores from Table 9) + Depreciation &amp; Amortization (46.38 Crores from Table 9). Interest Coverage Ratio is calculated as (Profit Before Tax + Finance Costs) / Finance Costs.</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3A6B"/>
          </w:tcPr>
          <w:p>
            <w:r/>
            <w:r>
              <w:rPr>
                <w:b/>
                <w:color w:val="FFFFFF"/>
                <w:sz w:val="20"/>
              </w:rPr>
              <w:t>Metric</w:t>
            </w:r>
          </w:p>
        </w:tc>
        <w:tc>
          <w:tcPr>
            <w:tcW w:type="dxa" w:w="3324"/>
            <w:shd w:val="clear" w:color="auto" w:fill="1B3A6B"/>
          </w:tcPr>
          <w:p>
            <w:r/>
            <w:r>
              <w:rPr>
                <w:b/>
                <w:color w:val="FFFFFF"/>
                <w:sz w:val="20"/>
              </w:rPr>
              <w:t>Value (FY Latest)</w:t>
            </w:r>
          </w:p>
        </w:tc>
        <w:tc>
          <w:tcPr>
            <w:tcW w:type="dxa" w:w="3324"/>
            <w:shd w:val="clear" w:color="auto" w:fill="1B3A6B"/>
          </w:tcPr>
          <w:p>
            <w:r/>
            <w:r>
              <w:rPr>
                <w:b/>
                <w:color w:val="FFFFFF"/>
                <w:sz w:val="20"/>
              </w:rPr>
              <w:t>Rationale / Source</w:t>
            </w:r>
          </w:p>
        </w:tc>
      </w:tr>
      <w:tr>
        <w:tc>
          <w:tcPr>
            <w:tcW w:type="dxa" w:w="3324"/>
          </w:tcPr>
          <w:p>
            <w:r>
              <w:t>Revenue</w:t>
            </w:r>
          </w:p>
        </w:tc>
        <w:tc>
          <w:tcPr>
            <w:tcW w:type="dxa" w:w="3324"/>
          </w:tcPr>
          <w:p>
            <w:r>
              <w:t>₹1,442 Cr</w:t>
            </w:r>
          </w:p>
        </w:tc>
        <w:tc>
          <w:tcPr>
            <w:tcW w:type="dxa" w:w="3324"/>
          </w:tcPr>
          <w:p>
            <w:r>
              <w:t>Direct extraction</w:t>
            </w:r>
          </w:p>
        </w:tc>
      </w:tr>
      <w:tr>
        <w:tc>
          <w:tcPr>
            <w:tcW w:type="dxa" w:w="3324"/>
          </w:tcPr>
          <w:p>
            <w:r>
              <w:t>Revenue Growth</w:t>
            </w:r>
          </w:p>
        </w:tc>
        <w:tc>
          <w:tcPr>
            <w:tcW w:type="dxa" w:w="3324"/>
          </w:tcPr>
          <w:p>
            <w:r>
              <w:t>N/A</w:t>
            </w:r>
          </w:p>
        </w:tc>
        <w:tc>
          <w:tcPr>
            <w:tcW w:type="dxa" w:w="3324"/>
          </w:tcPr>
          <w:p>
            <w:r>
              <w:t>Direct extraction</w:t>
            </w:r>
          </w:p>
        </w:tc>
      </w:tr>
      <w:tr>
        <w:tc>
          <w:tcPr>
            <w:tcW w:type="dxa" w:w="3324"/>
          </w:tcPr>
          <w:p>
            <w:r>
              <w:t>Profit After Tax</w:t>
            </w:r>
          </w:p>
        </w:tc>
        <w:tc>
          <w:tcPr>
            <w:tcW w:type="dxa" w:w="3324"/>
          </w:tcPr>
          <w:p>
            <w:r>
              <w:t>₹144 Cr</w:t>
            </w:r>
          </w:p>
        </w:tc>
        <w:tc>
          <w:tcPr>
            <w:tcW w:type="dxa" w:w="3324"/>
          </w:tcPr>
          <w:p>
            <w:r>
              <w:t>Direct extraction</w:t>
            </w:r>
          </w:p>
        </w:tc>
      </w:tr>
      <w:tr>
        <w:tc>
          <w:tcPr>
            <w:tcW w:type="dxa" w:w="3324"/>
          </w:tcPr>
          <w:p>
            <w:r>
              <w:t>EBITDA</w:t>
            </w:r>
          </w:p>
        </w:tc>
        <w:tc>
          <w:tcPr>
            <w:tcW w:type="dxa" w:w="3324"/>
          </w:tcPr>
          <w:p>
            <w:r>
              <w:t>₹485 Cr</w:t>
            </w:r>
          </w:p>
        </w:tc>
        <w:tc>
          <w:tcPr>
            <w:tcW w:type="dxa" w:w="3324"/>
          </w:tcPr>
          <w:p>
            <w:r>
              <w:t>Direct extraction</w:t>
            </w:r>
          </w:p>
        </w:tc>
      </w:tr>
      <w:tr>
        <w:tc>
          <w:tcPr>
            <w:tcW w:type="dxa" w:w="3324"/>
          </w:tcPr>
          <w:p>
            <w:r>
              <w:t>EBITDA Margin</w:t>
            </w:r>
          </w:p>
        </w:tc>
        <w:tc>
          <w:tcPr>
            <w:tcW w:type="dxa" w:w="3324"/>
          </w:tcPr>
          <w:p>
            <w:r>
              <w:t>33.6%</w:t>
            </w:r>
          </w:p>
        </w:tc>
        <w:tc>
          <w:tcPr>
            <w:tcW w:type="dxa" w:w="3324"/>
          </w:tcPr>
          <w:p>
            <w:r>
              <w:t>Direct extraction</w:t>
            </w:r>
          </w:p>
        </w:tc>
      </w:tr>
      <w:tr>
        <w:tc>
          <w:tcPr>
            <w:tcW w:type="dxa" w:w="3324"/>
          </w:tcPr>
          <w:p>
            <w:r>
              <w:t>Total Assets</w:t>
            </w:r>
          </w:p>
        </w:tc>
        <w:tc>
          <w:tcPr>
            <w:tcW w:type="dxa" w:w="3324"/>
          </w:tcPr>
          <w:p>
            <w:r>
              <w:t>₹9,168 Cr</w:t>
            </w:r>
          </w:p>
        </w:tc>
        <w:tc>
          <w:tcPr>
            <w:tcW w:type="dxa" w:w="3324"/>
          </w:tcPr>
          <w:p>
            <w:r>
              <w:t>Direct extraction</w:t>
            </w:r>
          </w:p>
        </w:tc>
      </w:tr>
      <w:tr>
        <w:tc>
          <w:tcPr>
            <w:tcW w:type="dxa" w:w="3324"/>
          </w:tcPr>
          <w:p>
            <w:r>
              <w:t>Net Worth</w:t>
            </w:r>
          </w:p>
        </w:tc>
        <w:tc>
          <w:tcPr>
            <w:tcW w:type="dxa" w:w="3324"/>
          </w:tcPr>
          <w:p>
            <w:r>
              <w:t>₹2,046 Cr</w:t>
            </w:r>
          </w:p>
        </w:tc>
        <w:tc>
          <w:tcPr>
            <w:tcW w:type="dxa" w:w="3324"/>
          </w:tcPr>
          <w:p>
            <w:r>
              <w:t>Direct extraction</w:t>
            </w:r>
          </w:p>
        </w:tc>
      </w:tr>
      <w:tr>
        <w:tc>
          <w:tcPr>
            <w:tcW w:type="dxa" w:w="3324"/>
          </w:tcPr>
          <w:p>
            <w:r>
              <w:t>Total Borrowings</w:t>
            </w:r>
          </w:p>
        </w:tc>
        <w:tc>
          <w:tcPr>
            <w:tcW w:type="dxa" w:w="3324"/>
          </w:tcPr>
          <w:p>
            <w:r>
              <w:t>₹6,956 Cr</w:t>
            </w:r>
          </w:p>
        </w:tc>
        <w:tc>
          <w:tcPr>
            <w:tcW w:type="dxa" w:w="3324"/>
          </w:tcPr>
          <w:p>
            <w:r>
              <w:t>Direct extraction</w:t>
            </w:r>
          </w:p>
        </w:tc>
      </w:tr>
      <w:tr>
        <w:tc>
          <w:tcPr>
            <w:tcW w:type="dxa" w:w="3324"/>
          </w:tcPr>
          <w:p>
            <w:r>
              <w:t>Debt / Equity</w:t>
            </w:r>
          </w:p>
        </w:tc>
        <w:tc>
          <w:tcPr>
            <w:tcW w:type="dxa" w:w="3324"/>
          </w:tcPr>
          <w:p>
            <w:r>
              <w:t>3.40x</w:t>
            </w:r>
          </w:p>
        </w:tc>
        <w:tc>
          <w:tcPr>
            <w:tcW w:type="dxa" w:w="3324"/>
          </w:tcPr>
          <w:p>
            <w:r>
              <w:t>Direct extraction</w:t>
            </w:r>
          </w:p>
        </w:tc>
      </w:tr>
      <w:tr>
        <w:tc>
          <w:tcPr>
            <w:tcW w:type="dxa" w:w="3324"/>
          </w:tcPr>
          <w:p>
            <w:r>
              <w:t>Current Ratio</w:t>
            </w:r>
          </w:p>
        </w:tc>
        <w:tc>
          <w:tcPr>
            <w:tcW w:type="dxa" w:w="3324"/>
          </w:tcPr>
          <w:p>
            <w:r>
              <w:t>N/A</w:t>
            </w:r>
          </w:p>
        </w:tc>
        <w:tc>
          <w:tcPr>
            <w:tcW w:type="dxa" w:w="3324"/>
          </w:tcPr>
          <w:p>
            <w:r>
              <w:t>Direct extraction</w:t>
            </w:r>
          </w:p>
        </w:tc>
      </w:tr>
      <w:tr>
        <w:tc>
          <w:tcPr>
            <w:tcW w:type="dxa" w:w="3324"/>
          </w:tcPr>
          <w:p>
            <w:r>
              <w:t>Interest Coverage</w:t>
            </w:r>
          </w:p>
        </w:tc>
        <w:tc>
          <w:tcPr>
            <w:tcW w:type="dxa" w:w="3324"/>
          </w:tcPr>
          <w:p>
            <w:r>
              <w:t>1.86x</w:t>
            </w:r>
          </w:p>
        </w:tc>
        <w:tc>
          <w:tcPr>
            <w:tcW w:type="dxa" w:w="3324"/>
          </w:tcPr>
          <w:p>
            <w:r>
              <w:t>Direct extraction</w:t>
            </w:r>
          </w:p>
        </w:tc>
      </w:tr>
      <w:tr>
        <w:tc>
          <w:tcPr>
            <w:tcW w:type="dxa" w:w="3324"/>
          </w:tcPr>
          <w:p>
            <w:r>
              <w:t>Return on Equity</w:t>
            </w:r>
          </w:p>
        </w:tc>
        <w:tc>
          <w:tcPr>
            <w:tcW w:type="dxa" w:w="3324"/>
          </w:tcPr>
          <w:p>
            <w:r>
              <w:t>N/A</w:t>
            </w:r>
          </w:p>
        </w:tc>
        <w:tc>
          <w:tcPr>
            <w:tcW w:type="dxa" w:w="3324"/>
          </w:tcPr>
          <w:p>
            <w:r>
              <w:t>Direct extraction</w:t>
            </w:r>
          </w:p>
        </w:tc>
      </w:tr>
    </w:tbl>
    <w:p/>
    <w:p>
      <w:r>
        <w:rPr>
          <w:b/>
        </w:rPr>
        <w:t xml:space="preserve">Extraction Notes: </w:t>
      </w:r>
      <w:r>
        <w:t>Financial values for FY25 (ending March 31, 2025) are primarily sourced from the summary table (Table 3), which states values in Crores. Revenue, Profit After Tax, Net Worth, and Debt to Equity Ratio are directly from Table 3. Total Borrowings is inferred using the Debt to Equity ratio (3.4) and Net Worth (2,046 Crores): Debt = 3.4 * 2046 = 6956.4 Crores. Total Assets is taken from Table 8's total liabilities and equity (916,831.22 Lakhs = 9168.31 Crores). EBITDA is calculated as Profit Before Tax (203.12 Crores from Table 9) + Finance Costs (235.58 Crores from Table 9) + Depreciation &amp; Amortization (46.38 Crores from Table 9). Interest Coverage Ratio is calculated as (Profit Before Tax + Finance Costs) / Finance Costs.</w:t>
      </w:r>
    </w:p>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72</w:t>
            </w:r>
          </w:p>
        </w:tc>
        <w:tc>
          <w:tcPr>
            <w:tcW w:type="dxa" w:w="2493"/>
          </w:tcPr>
          <w:p>
            <w:r>
              <w:t>25%</w:t>
            </w:r>
          </w:p>
        </w:tc>
        <w:tc>
          <w:tcPr>
            <w:tcW w:type="dxa" w:w="2493"/>
          </w:tcPr>
          <w:p>
            <w:r>
              <w:t>UGRO Capital exhibits a strong character profile with a 'Good' promoter reputation, 'Low' risk level, and no indications of wilful default, criminal cases, or SFIO investigations. MCA signals also indicate 'Low' risk with no director disqualifications or filing defaults identified. While there is an NCLT case concerning a dispute, it does not suggest a fundamental flaw in the company's integrity and is treated as neutral as per credit assessment guidelines.</w:t>
            </w:r>
          </w:p>
        </w:tc>
      </w:tr>
      <w:tr>
        <w:tc>
          <w:tcPr>
            <w:tcW w:type="dxa" w:w="2493"/>
            <w:shd w:val="clear" w:color="auto" w:fill="E8F0FA"/>
          </w:tcPr>
          <w:p>
            <w:r>
              <w:rPr>
                <w:b/>
              </w:rPr>
              <w:t>💰 Capacity</w:t>
            </w:r>
          </w:p>
        </w:tc>
        <w:tc>
          <w:tcPr>
            <w:tcW w:type="dxa" w:w="2493"/>
            <w:shd w:val="clear" w:color="auto" w:fill="E8F0FA"/>
          </w:tcPr>
          <w:p>
            <w:r>
              <w:t>80</w:t>
            </w:r>
          </w:p>
        </w:tc>
        <w:tc>
          <w:tcPr>
            <w:tcW w:type="dxa" w:w="2493"/>
            <w:shd w:val="clear" w:color="auto" w:fill="E8F0FA"/>
          </w:tcPr>
          <w:p>
            <w:r>
              <w:t>30%</w:t>
            </w:r>
          </w:p>
        </w:tc>
        <w:tc>
          <w:tcPr>
            <w:tcW w:type="dxa" w:w="2493"/>
            <w:shd w:val="clear" w:color="auto" w:fill="E8F0FA"/>
          </w:tcPr>
          <w:p>
            <w:r>
              <w:t>The company demonstrates strong operational efficiency with an EBITDA margin of 33.6%. Assets Under Management (AUM) grew by a robust 20% year-on-year to INR 12,226 Cr as of September 30, 2025, indicating strong business growth. However, the Interest Coverage Ratio (ICR) of 1.86x is on the lower side, suggesting limited buffer for debt servicing from current earnings. Additionally, Return on Managed Assets (ROMA) declined from 1.4% in FY24 to 1.2% in FY25, which is a point of concern regarding asset profitability.</w:t>
            </w:r>
          </w:p>
        </w:tc>
      </w:tr>
      <w:tr>
        <w:tc>
          <w:tcPr>
            <w:tcW w:type="dxa" w:w="2493"/>
          </w:tcPr>
          <w:p>
            <w:r>
              <w:rPr>
                <w:b/>
              </w:rPr>
              <w:t>🏛️ Capital</w:t>
            </w:r>
          </w:p>
        </w:tc>
        <w:tc>
          <w:tcPr>
            <w:tcW w:type="dxa" w:w="2493"/>
          </w:tcPr>
          <w:p>
            <w:r>
              <w:t>28</w:t>
            </w:r>
          </w:p>
        </w:tc>
        <w:tc>
          <w:tcPr>
            <w:tcW w:type="dxa" w:w="2493"/>
          </w:tcPr>
          <w:p>
            <w:r>
              <w:t>20%</w:t>
            </w:r>
          </w:p>
        </w:tc>
        <w:tc>
          <w:tcPr>
            <w:tcW w:type="dxa" w:w="2493"/>
          </w:tcPr>
          <w:p>
            <w:r>
              <w:t>UGRO Capital's capital structure shows high leverage, with a Debt-Equity ratio of 3.4x. This indicates a significant reliance on borrowings relative to the net worth of INR 2046.0 Crores, presenting a limited equity cushion.</w:t>
            </w:r>
          </w:p>
        </w:tc>
      </w:tr>
      <w:tr>
        <w:tc>
          <w:tcPr>
            <w:tcW w:type="dxa" w:w="2493"/>
            <w:shd w:val="clear" w:color="auto" w:fill="E8F0FA"/>
          </w:tcPr>
          <w:p>
            <w:r>
              <w:rPr>
                <w:b/>
              </w:rPr>
              <w:t>🔒 Collateral</w:t>
            </w:r>
          </w:p>
        </w:tc>
        <w:tc>
          <w:tcPr>
            <w:tcW w:type="dxa" w:w="2493"/>
            <w:shd w:val="clear" w:color="auto" w:fill="E8F0FA"/>
          </w:tcPr>
          <w:p>
            <w:r>
              <w:t>60</w:t>
            </w:r>
          </w:p>
        </w:tc>
        <w:tc>
          <w:tcPr>
            <w:tcW w:type="dxa" w:w="2493"/>
            <w:shd w:val="clear" w:color="auto" w:fill="E8F0FA"/>
          </w:tcPr>
          <w:p>
            <w:r>
              <w:t>15%</w:t>
            </w:r>
          </w:p>
        </w:tc>
        <w:tc>
          <w:tcPr>
            <w:tcW w:type="dxa" w:w="2493"/>
            <w:shd w:val="clear" w:color="auto" w:fill="E8F0FA"/>
          </w:tcPr>
          <w:p>
            <w:r>
              <w:t>The company possesses a substantial asset base, with Total Assets reported at INR 9168.31 Crores. Furthermore, its Assets Under Management (AUM) stood at INR 12,226 Crores as of September 30, 2025, which provides a strong pool of underlying assets that can serve as collateral or security for borrowings.</w:t>
            </w:r>
          </w:p>
        </w:tc>
      </w:tr>
      <w:tr>
        <w:tc>
          <w:tcPr>
            <w:tcW w:type="dxa" w:w="2493"/>
          </w:tcPr>
          <w:p>
            <w:r>
              <w:rPr>
                <w:b/>
              </w:rPr>
              <w:t>🌍 Conditions</w:t>
            </w:r>
          </w:p>
        </w:tc>
        <w:tc>
          <w:tcPr>
            <w:tcW w:type="dxa" w:w="2493"/>
          </w:tcPr>
          <w:p>
            <w:r>
              <w:t>60</w:t>
            </w:r>
          </w:p>
        </w:tc>
        <w:tc>
          <w:tcPr>
            <w:tcW w:type="dxa" w:w="2493"/>
          </w:tcPr>
          <w:p>
            <w:r>
              <w:t>10%</w:t>
            </w:r>
          </w:p>
        </w:tc>
        <w:tc>
          <w:tcPr>
            <w:tcW w:type="dxa" w:w="2493"/>
          </w:tcPr>
          <w:p>
            <w:r>
              <w:t>In the absence of specific negative or exceptionally positive information regarding the overall NBFC sector health, macro-economic conditions, or specific RBI regulatory changes impacting UGRO Capital, a moderate score is assigned. The Indian NBFC sector is generally dynamic and regulated, and no specific adverse conditions have been highlighted.</w:t>
            </w:r>
          </w:p>
        </w:tc>
      </w:tr>
    </w:tbl>
    <w:p/>
    <w:p>
      <w:r>
        <w:rPr>
          <w:b/>
        </w:rPr>
        <w:t xml:space="preserve">Weighted Score: </w:t>
      </w:r>
      <w:r>
        <w:t>62.6/100</w:t>
      </w:r>
      <w:r>
        <w:t xml:space="preserve">   |   </w:t>
      </w:r>
      <w:r>
        <w:rPr>
          <w:b/>
        </w:rPr>
        <w:t xml:space="preserve">Penalty Applied: </w:t>
      </w:r>
      <w:r>
        <w:t>2.56 points</w:t>
      </w:r>
      <w:r>
        <w:t xml:space="preserve">   |   </w:t>
      </w:r>
      <w:r>
        <w:rPr>
          <w:b/>
        </w:rPr>
        <w:t xml:space="preserve">Final Score: </w:t>
      </w:r>
      <w:r>
        <w:t>60.04/100</w:t>
      </w:r>
    </w:p>
    <w:p/>
    <w:p>
      <w:pPr>
        <w:jc w:val="left"/>
      </w:pPr>
      <w:r>
        <w:rPr>
          <w:b/>
          <w:color w:val="1B3A6B"/>
          <w:sz w:val="24"/>
          <w:u w:val="single"/>
        </w:rPr>
        <w:t>SECONDARY RESEARCH INTELLIGENCE</w:t>
      </w:r>
    </w:p>
    <w:p/>
    <w:p>
      <w:r>
        <w:rPr>
          <w:b/>
        </w:rPr>
        <w:t xml:space="preserve">Company News: </w:t>
      </w:r>
      <w:r>
        <w:t>UGRO Capital reported robust Assets Under Management (AUM) of INR 12,226 Cr for the quarter and half year ended September 30, 2025, marking a 20% year-on-year increase. However, the company's Return on Managed Assets (ROMA) for fiscal 2025 stood at 1.2%, a decrease from 1.4% in fiscal 2024, although it improved from 0.8% in fiscal 2023.</w:t>
      </w:r>
    </w:p>
    <w:p/>
    <w:p>
      <w:r>
        <w:rPr>
          <w:b/>
        </w:rPr>
        <w:t xml:space="preserve">Promoter Background: </w:t>
      </w:r>
      <w:r>
        <w:t>No specific information regarding UGRO Capital's promoters was provided in the intelligence. There are no indications of wilful defaulter status, criminal cases, or SFIO investigations related to the promoters.</w:t>
      </w:r>
    </w:p>
    <w:p/>
    <w:p>
      <w:r>
        <w:rPr>
          <w:b/>
        </w:rPr>
        <w:t xml:space="preserve">Sector Headwinds: </w:t>
      </w:r>
      <w:r>
        <w:t>The RBI has proposed significant amendments to the External Commercial Borrowing (ECB) framework in October 2025. These draft regulations introduce changes to permitted and prohibited end-uses, eligibility criteria, all-in-cost caps, and borrowing limits. While expanding certain permitted end-uses, the overall recalibration of the ECB regime may introduce an adjustment period and potential uncertainty for NBFCs like UGRO Capital regarding their foreign funding strategy and costs. This presents a medium lending risk for the sector as a whole due to regulatory evolution.</w:t>
      </w:r>
    </w:p>
    <w:p/>
    <w:p>
      <w:r>
        <w:rPr>
          <w:b/>
        </w:rPr>
        <w:t xml:space="preserve">Litigation: </w:t>
      </w:r>
      <w:r>
        <w:t>UGRO Capital is a party to an NCLT case (IB-639/(ND)/2022) involving a commercial dispute over an MSA and Facility Agreement, with a potential for arbitration to determine liability. The intelligence also refers to an NCLAT appeal (Company Appeal (AT) (Ins.) Nos. 909 &amp; 936 of 2024) discussing an admitted CIRP claim, resolution plan, and guarantor liability, and mentions pending DRT proceedings. While UGRO Capital's specific role in these CIRP/DRT cases (as creditor or debtor) is not explicitly stated as facing insolvency, its involvement in these legal proceedings indicates a medium level of litigation risk due to ongoing disputes and potential liabilities.</w:t>
      </w:r>
    </w:p>
    <w:p/>
    <w:p>
      <w:r>
        <w:rPr>
          <w:b/>
        </w:rPr>
        <w:t xml:space="preserve">Regulatory: </w:t>
      </w:r>
      <w:r>
        <w:t>No specific SEBI or RBI enforcement actions, penalties, or license issues were identified for UGRO Capital from the provided intelligence. General RBI draft regulations regarding the ECB framework were noted, which apply to the broader sector.</w:t>
      </w:r>
    </w:p>
    <w:p/>
    <w:p>
      <w:r>
        <w:rPr>
          <w:b/>
        </w:rPr>
        <w:t xml:space="preserve">MCA Signals: </w:t>
      </w:r>
      <w:r>
        <w:t>The provided intelligence contained general information regarding director disqualification due to non-filing of ROC documents, but no specific MCA filing defaults, director disqualifications, or charge satisfaction issues were identified for UGRO Capital or its directors.</w:t>
      </w:r>
    </w:p>
    <w:p/>
    <w:p>
      <w:r>
        <w:rPr>
          <w:b/>
        </w:rPr>
        <w:t xml:space="preserve">Overall Research Rating: </w:t>
      </w:r>
      <w:r>
        <w:t>B — Proceed</w:t>
      </w:r>
    </w:p>
    <w:p>
      <w:r>
        <w:rPr>
          <w:b/>
        </w:rPr>
        <w:t xml:space="preserve">Top Risks Identified: </w:t>
      </w:r>
      <w:r>
        <w:t>Ambiguity and implications of UGRO Capital's involvement in NCLT/DRT legal disputes and potential arbitration, requiring further clarity on its role and exposure.; Potential impact of evolving RBI External Commercial Borrowing (ECB) regulations on UGRO's funding strategy and cost of borrowings.; Limited visibility on comprehensive financial metrics beyond AUM and ROMA, hindering a complete financial assessment.</w:t>
      </w:r>
    </w:p>
    <w:p/>
    <w:p>
      <w:pPr>
        <w:jc w:val="left"/>
      </w:pPr>
      <w:r>
        <w:rPr>
          <w:b/>
          <w:color w:val="1B3A6B"/>
          <w:sz w:val="24"/>
          <w:u w:val="single"/>
        </w:rPr>
        <w:t>CROSS-DOCUMENT FRAUD INTELLIGENCE</w:t>
      </w:r>
    </w:p>
    <w:p/>
    <w:p>
      <w:r>
        <w:rPr>
          <w:b/>
        </w:rPr>
        <w:t xml:space="preserve">Documents Compared: </w:t>
      </w:r>
      <w:r>
        <w:t>structured_data, merged_all, annual_report</w:t>
      </w:r>
    </w:p>
    <w:p>
      <w:r>
        <w:rPr>
          <w:b/>
        </w:rPr>
        <w:t xml:space="preserve">Circular Trading Risk: </w:t>
      </w:r>
      <w:r>
        <w:t>Low</w:t>
      </w:r>
    </w:p>
    <w:p>
      <w:r>
        <w:rPr>
          <w:b/>
        </w:rPr>
        <w:t xml:space="preserve">Revenue Inflation Risk: </w:t>
      </w:r>
      <w:r>
        <w:t>Low</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D68910"/>
          </w:tcPr>
          <w:p>
            <w:pPr>
              <w:jc w:val="center"/>
            </w:pPr>
            <w:r>
              <w:rPr>
                <w:b/>
                <w:color w:val="FFFFFF"/>
                <w:sz w:val="28"/>
              </w:rPr>
              <w:t>RECOMMENDATION: CONDITIONAL_APPROVE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CONDITIONAL_APPROVE</w:t>
            </w:r>
          </w:p>
        </w:tc>
      </w:tr>
      <w:tr>
        <w:tc>
          <w:tcPr>
            <w:tcW w:type="dxa" w:w="4986"/>
            <w:shd w:val="clear" w:color="auto" w:fill="E8F0FA"/>
          </w:tcPr>
          <w:p>
            <w:r>
              <w:rPr>
                <w:b/>
              </w:rPr>
              <w:t>Credit Rating</w:t>
            </w:r>
          </w:p>
        </w:tc>
        <w:tc>
          <w:tcPr>
            <w:tcW w:type="dxa" w:w="4986"/>
          </w:tcPr>
          <w:p>
            <w:r>
              <w:t>BB</w:t>
            </w:r>
          </w:p>
        </w:tc>
      </w:tr>
      <w:tr>
        <w:tc>
          <w:tcPr>
            <w:tcW w:type="dxa" w:w="4986"/>
            <w:shd w:val="clear" w:color="auto" w:fill="E8F0FA"/>
          </w:tcPr>
          <w:p>
            <w:r>
              <w:rPr>
                <w:b/>
              </w:rPr>
              <w:t>Credit Score</w:t>
            </w:r>
          </w:p>
        </w:tc>
        <w:tc>
          <w:tcPr>
            <w:tcW w:type="dxa" w:w="4986"/>
          </w:tcPr>
          <w:p>
            <w:r>
              <w:t>64.16/100</w:t>
            </w:r>
          </w:p>
        </w:tc>
      </w:tr>
      <w:tr>
        <w:tc>
          <w:tcPr>
            <w:tcW w:type="dxa" w:w="4986"/>
            <w:shd w:val="clear" w:color="auto" w:fill="E8F0FA"/>
          </w:tcPr>
          <w:p>
            <w:r>
              <w:rPr>
                <w:b/>
              </w:rPr>
              <w:t>Recommended Amount</w:t>
            </w:r>
          </w:p>
        </w:tc>
        <w:tc>
          <w:tcPr>
            <w:tcW w:type="dxa" w:w="4986"/>
          </w:tcPr>
          <w:p>
            <w:r>
              <w:t>₹22.0 Cr</w:t>
            </w:r>
          </w:p>
        </w:tc>
      </w:tr>
      <w:tr>
        <w:tc>
          <w:tcPr>
            <w:tcW w:type="dxa" w:w="4986"/>
            <w:shd w:val="clear" w:color="auto" w:fill="E8F0FA"/>
          </w:tcPr>
          <w:p>
            <w:r>
              <w:rPr>
                <w:b/>
              </w:rPr>
              <w:t>Interest Rate</w:t>
            </w:r>
          </w:p>
        </w:tc>
        <w:tc>
          <w:tcPr>
            <w:tcW w:type="dxa" w:w="4986"/>
          </w:tcPr>
          <w:p>
            <w:r>
              <w:t>14.0%</w:t>
            </w:r>
          </w:p>
        </w:tc>
      </w:tr>
      <w:tr>
        <w:tc>
          <w:tcPr>
            <w:tcW w:type="dxa" w:w="4986"/>
            <w:shd w:val="clear" w:color="auto" w:fill="E8F0FA"/>
          </w:tcPr>
          <w:p>
            <w:r>
              <w:rPr>
                <w:b/>
              </w:rPr>
              <w:t>Tenure</w:t>
            </w:r>
          </w:p>
        </w:tc>
        <w:tc>
          <w:tcPr>
            <w:tcW w:type="dxa" w:w="4986"/>
          </w:tcPr>
          <w:p>
            <w:r>
              <w:t>36 months</w:t>
            </w:r>
          </w:p>
        </w:tc>
      </w:tr>
    </w:tbl>
    <w:p/>
    <w:p>
      <w:r>
        <w:rPr>
          <w:b/>
        </w:rPr>
        <w:t xml:space="preserve">Rationale: </w:t>
      </w:r>
      <w:r>
        <w:t>Blended score 64.16/100 with rating BB. Five-Cs weighted score after penalties: 60.04. Entity type assessed as corporate. Recommendation is CONDITIONAL_APPROVE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22 Mar 2026 16:58</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