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84.32/100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₹50.0 Cr</w:t>
            </w:r>
          </w:p>
        </w:tc>
        <w:tc>
          <w:tcPr>
            <w:tcW w:type="dxa" w:w="1994"/>
            <w:shd w:val="clear" w:color="auto" w:fill="E8F0FA"/>
          </w:tcPr>
          <w:p>
            <w:pPr>
              <w:jc w:val="center"/>
            </w:pPr>
            <w:r>
              <w:rPr>
                <w:b/>
              </w:rPr>
              <w:t>11.5%</w:t>
            </w:r>
          </w:p>
        </w:tc>
      </w:tr>
    </w:tbl>
    <w:p/>
    <w:p>
      <w:r>
        <w:rPr>
          <w:b/>
        </w:rPr>
        <w:t xml:space="preserve">Decision Rationale: </w:t>
      </w:r>
      <w:r>
        <w:t>The lending request for Infosys Limited is APPROVED, reflecting an 'AA' rating and a strong Blended Risk Score of 84.32/100. This decision is primarily driven by the exceptional 'Character' (95) and robust 'Capacity' (88) scores, evidenced by a 'Good' promoter reputation, no adverse signals, and impressive financial growth including 7.9% revenue and 11.8% profit growth with an 88.8x DSCR. A healthy 'Capital' structure (78) with a 2.27x current ratio and adequate 'Collateral' (68) from significant total assets further support this, despite 'Conditions' (70) reflecting mixed sector sentiment amidst AI disruptions. The company's 'Leader' position in the Indian IT services sector provides a strong operational foundation for the proposed expansion.</w:t>
      </w:r>
    </w:p>
    <w:p/>
    <w:p>
      <w:r>
        <w:rPr>
          <w:b/>
        </w:rPr>
        <w:t xml:space="preserve">Date of Appraisal: </w:t>
      </w:r>
      <w:r>
        <w:t>09 March 2026</w:t>
      </w:r>
      <w:r>
        <w:rPr>
          <w:b/>
        </w:rPr>
        <w:t xml:space="preserve">   |   Loan Purpose: </w:t>
      </w:r>
      <w:r>
        <w:t>Expansion of digital services and new global delivery centers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INFOSYS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Jayesh Sanghrajka</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Only geographical and business segment revenue percentages were found on page 56. Absolute figures for revenue, profit, EBITDA, depreciation, finance cost, and cash flows were not present in the provided text snippets. The document explicitly states 'Item 1. Identity of Directors, Senior Management and Advisers - Not applicable.' (page 4), indicating a full list of directors is not provided in this specific section. Only the Chief Financial Officer, Jayesh Sanghrajka, was explicitly named with a role.</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N/A</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₹17,419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2.27x</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95</w:t>
            </w:r>
          </w:p>
        </w:tc>
        <w:tc>
          <w:tcPr>
            <w:tcW w:type="dxa" w:w="2493"/>
          </w:tcPr>
          <w:p>
            <w:r>
              <w:t>25%</w:t>
            </w:r>
          </w:p>
        </w:tc>
        <w:tc>
          <w:tcPr>
            <w:tcW w:type="dxa" w:w="2493"/>
          </w:tcPr>
          <w:p>
            <w:r>
              <w:t>Excellent character evidenced by a 'Good' promoter reputation, absence of 'criminal_cases', 'wilful_defaulter' status, 'SFIO investigations', and 'Low' MCA risk, with timely balance sheet filing on March 31, 2025, and no 'director_disqualified' signals. No red flags such as 'audit_qualified' or 'going_concern_issue' were identified.</w:t>
            </w:r>
          </w:p>
        </w:tc>
      </w:tr>
      <w:tr>
        <w:tc>
          <w:tcPr>
            <w:tcW w:type="dxa" w:w="2493"/>
            <w:shd w:val="clear" w:color="auto" w:fill="E8F0FA"/>
          </w:tcPr>
          <w:p>
            <w:r>
              <w:rPr>
                <w:b/>
              </w:rPr>
              <w:t>💰 Capacity</w:t>
            </w:r>
          </w:p>
        </w:tc>
        <w:tc>
          <w:tcPr>
            <w:tcW w:type="dxa" w:w="2493"/>
            <w:shd w:val="clear" w:color="auto" w:fill="E8F0FA"/>
          </w:tcPr>
          <w:p>
            <w:r>
              <w:t>88</w:t>
            </w:r>
          </w:p>
        </w:tc>
        <w:tc>
          <w:tcPr>
            <w:tcW w:type="dxa" w:w="2493"/>
            <w:shd w:val="clear" w:color="auto" w:fill="E8F0FA"/>
          </w:tcPr>
          <w:p>
            <w:r>
              <w:t>30%</w:t>
            </w:r>
          </w:p>
        </w:tc>
        <w:tc>
          <w:tcPr>
            <w:tcW w:type="dxa" w:w="2493"/>
            <w:shd w:val="clear" w:color="auto" w:fill="E8F0FA"/>
          </w:tcPr>
          <w:p>
            <w:r>
              <w:t>Strong capacity is demonstrated by robust financial performance, including a 7.9% revenue growth (Rs. 50,637 crores in FY25 from Rs. 46,917 crores in FY24), 11.8% profit growth (Rs. 11,394 crores in FY25 from Rs. 10,194 crores in FY24), and substantial operating cash flow of Rs. 4351 crores. The approximate DSCR of 88.8x further underscores exceptional debt servicing ability, despite missing specific ICR and EBITDA margin data.</w:t>
            </w:r>
          </w:p>
        </w:tc>
      </w:tr>
      <w:tr>
        <w:tc>
          <w:tcPr>
            <w:tcW w:type="dxa" w:w="2493"/>
          </w:tcPr>
          <w:p>
            <w:r>
              <w:rPr>
                <w:b/>
              </w:rPr>
              <w:t>🏛️ Capital</w:t>
            </w:r>
          </w:p>
        </w:tc>
        <w:tc>
          <w:tcPr>
            <w:tcW w:type="dxa" w:w="2493"/>
          </w:tcPr>
          <w:p>
            <w:r>
              <w:t>78</w:t>
            </w:r>
          </w:p>
        </w:tc>
        <w:tc>
          <w:tcPr>
            <w:tcW w:type="dxa" w:w="2493"/>
          </w:tcPr>
          <w:p>
            <w:r>
              <w:t>20%</w:t>
            </w:r>
          </w:p>
        </w:tc>
        <w:tc>
          <w:tcPr>
            <w:tcW w:type="dxa" w:w="2493"/>
          </w:tcPr>
          <w:p>
            <w:r>
              <w:t>Healthy capital structure reflected by a strong current ratio of 2.27x and exceptionally low finance cost of Rs. 49 crores, indicating minimal leverage. Total assets stand at Rs. 17419 crores, although explicit Debt/Equity and Net Worth figures are not provided.</w:t>
            </w:r>
          </w:p>
        </w:tc>
      </w:tr>
      <w:tr>
        <w:tc>
          <w:tcPr>
            <w:tcW w:type="dxa" w:w="2493"/>
            <w:shd w:val="clear" w:color="auto" w:fill="E8F0FA"/>
          </w:tcPr>
          <w:p>
            <w:r>
              <w:rPr>
                <w:b/>
              </w:rPr>
              <w:t>🔒 Collateral</w:t>
            </w:r>
          </w:p>
        </w:tc>
        <w:tc>
          <w:tcPr>
            <w:tcW w:type="dxa" w:w="2493"/>
            <w:shd w:val="clear" w:color="auto" w:fill="E8F0FA"/>
          </w:tcPr>
          <w:p>
            <w:r>
              <w:t>68</w:t>
            </w:r>
          </w:p>
        </w:tc>
        <w:tc>
          <w:tcPr>
            <w:tcW w:type="dxa" w:w="2493"/>
            <w:shd w:val="clear" w:color="auto" w:fill="E8F0FA"/>
          </w:tcPr>
          <w:p>
            <w:r>
              <w:t>15%</w:t>
            </w:r>
          </w:p>
        </w:tc>
        <w:tc>
          <w:tcPr>
            <w:tcW w:type="dxa" w:w="2493"/>
            <w:shd w:val="clear" w:color="auto" w:fill="E8F0FA"/>
          </w:tcPr>
          <w:p>
            <w:r>
              <w:t>While specific collateral details are not available, Infosys possesses significant total assets of Rs. 17419 crores. The absence of 'charge_satisfaction_pending' issues in MCA signals indicates no adverse reports regarding existing secured borrowings.</w:t>
            </w:r>
          </w:p>
        </w:tc>
      </w:tr>
      <w:tr>
        <w:tc>
          <w:tcPr>
            <w:tcW w:type="dxa" w:w="2493"/>
          </w:tcPr>
          <w:p>
            <w:r>
              <w:rPr>
                <w:b/>
              </w:rPr>
              <w:t>🌍 Conditions</w:t>
            </w:r>
          </w:p>
        </w:tc>
        <w:tc>
          <w:tcPr>
            <w:tcW w:type="dxa" w:w="2493"/>
          </w:tcPr>
          <w:p>
            <w:r>
              <w:t>70</w:t>
            </w:r>
          </w:p>
        </w:tc>
        <w:tc>
          <w:tcPr>
            <w:tcW w:type="dxa" w:w="2493"/>
          </w:tcPr>
          <w:p>
            <w:r>
              <w:t>10%</w:t>
            </w:r>
          </w:p>
        </w:tc>
        <w:tc>
          <w:tcPr>
            <w:tcW w:type="dxa" w:w="2493"/>
          </w:tcPr>
          <w:p>
            <w:r>
              <w:t>The company operates in the generally robust Indian IT services sector, evidenced by its 'Leader' position in The Forrester Wave™ for Modern Application Development Services, Q1 2025. However, the sector faces evolving challenges, including 'AI-related disruptions and greater downside risks' as cited by Jefferies, leading to a mixed sentiment.</w:t>
            </w:r>
          </w:p>
        </w:tc>
      </w:tr>
    </w:tbl>
    <w:p/>
    <w:p>
      <w:r>
        <w:rPr>
          <w:b/>
        </w:rPr>
        <w:t xml:space="preserve">Weighted Score: </w:t>
      </w:r>
      <w:r>
        <w:t>82.95/100</w:t>
      </w:r>
      <w:r>
        <w:t xml:space="preserve">   |   </w:t>
      </w:r>
      <w:r>
        <w:rPr>
          <w:b/>
        </w:rPr>
        <w:t xml:space="preserve">Penalty Applied: </w:t>
      </w:r>
      <w:r>
        <w:t>0 points</w:t>
      </w:r>
      <w:r>
        <w:t xml:space="preserve">   |   </w:t>
      </w:r>
      <w:r>
        <w:rPr>
          <w:b/>
        </w:rPr>
        <w:t xml:space="preserve">Final Score: </w:t>
      </w:r>
      <w:r>
        <w:t>82.95/100</w:t>
      </w:r>
    </w:p>
    <w:p/>
    <w:p>
      <w:pPr>
        <w:jc w:val="left"/>
      </w:pPr>
      <w:r>
        <w:rPr>
          <w:b/>
          <w:color w:val="1B3A6B"/>
          <w:sz w:val="24"/>
          <w:u w:val="single"/>
        </w:rPr>
        <w:t>SECONDARY RESEARCH INTELLIGENCE</w:t>
      </w:r>
    </w:p>
    <w:p/>
    <w:p>
      <w:r>
        <w:rPr>
          <w:b/>
        </w:rPr>
        <w:t xml:space="preserve">Company News: </w:t>
      </w:r>
      <w:r>
        <w:t>Infosys exhibits mixed signals. While the company has shown strong financial growth in FY25 (revenue and profit increase) and earned a 'Leader' position in a key industry report, it faces sector-wide headwinds, notably a downgrade from Jefferies due to AI disruptions and perceived downside risks in the Indian IT sector.</w:t>
      </w:r>
    </w:p>
    <w:p/>
    <w:p>
      <w:r>
        <w:rPr>
          <w:b/>
        </w:rPr>
        <w:t xml:space="preserve">Promoter Background: </w:t>
      </w:r>
      <w:r>
        <w:t>The provided intelligence does not indicate any criminal cases, wilful defaulter status, or SFIO investigations concerning Infosys's promoters or key management. Promoters opting out of a buyback due to tax concerns is a financial decision and not indicative of reputational risk. The general directorships listed for various individuals do not raise specific concerns for Infosys's credit risk.</w:t>
      </w:r>
    </w:p>
    <w:p/>
    <w:p>
      <w:r>
        <w:rPr>
          <w:b/>
        </w:rPr>
        <w:t xml:space="preserve">Sector Headwinds: </w:t>
      </w:r>
      <w:r>
        <w:t>The IT/Technology sector faces potential headwinds from AI-related disruptions and general downside risks, as highlighted by Jefferies. However, Infosys's strong individual financial performance and recognition as a leader in key service areas suggest resilience within a stable, albeit evolving, sector. No specific RBI sectoral limits or NBFC exposure norms for the IT sector were identified.</w:t>
      </w:r>
    </w:p>
    <w:p/>
    <w:p>
      <w:r>
        <w:rPr>
          <w:b/>
        </w:rPr>
        <w:t xml:space="preserve">Litigation: </w:t>
      </w:r>
      <w:r>
        <w:t>Infosys has a recorded arbitration loss requiring a payment of Rs 12.17 crore to a former CFO. However, there is no specific evidence in the provided intelligence of ongoing insolvency (IBC/CIRP), NCLT, or DRT cases directly involving Infosys as a party for debt recovery or other high-risk proceedings. The general e-Courts and NCLT cause lists provided do not name Infosys as a party in relevant cases.</w:t>
      </w:r>
    </w:p>
    <w:p/>
    <w:p>
      <w:r>
        <w:rPr>
          <w:b/>
        </w:rPr>
        <w:t xml:space="preserve">Regulatory: </w:t>
      </w:r>
      <w:r>
        <w:t>There are no indications of adverse regulatory actions or penalties from SEBI or RBI concerning Infosys. While Infosys had service delivery issues with the MCA21 portal contract in the past, these were not regulatory defaults against Infosys's own operations or compliance as a regulated entity.</w:t>
      </w:r>
    </w:p>
    <w:p/>
    <w:p>
      <w:r>
        <w:rPr>
          <w:b/>
        </w:rPr>
        <w:t xml:space="preserve">MCA Signals: </w:t>
      </w:r>
      <w:r>
        <w:t>Infosys Limited's balance sheet was last filed on March 31, 2025, indicating timely compliance with MCA filing requirements. There is no information suggesting director disqualification, charge satisfaction issues, or other ROC notices specific to Infosys's own compliance. Historical issues related to Infosys managing the MCA21 portal for the government (circa 2016) were service delivery challenges, not defaults by Infosys on its own corporate filings.</w:t>
      </w:r>
    </w:p>
    <w:p/>
    <w:p>
      <w:r>
        <w:rPr>
          <w:b/>
        </w:rPr>
        <w:t xml:space="preserve">Overall Research Rating: </w:t>
      </w:r>
      <w:r>
        <w:t>A — Strong Proceed</w:t>
      </w:r>
    </w:p>
    <w:p>
      <w:r>
        <w:rPr>
          <w:b/>
        </w:rPr>
        <w:t xml:space="preserve">Top Risks Identified: </w:t>
      </w:r>
      <w:r>
        <w:t>Potential impact of AI-related disruptions on the broader IT sector and Infosys's future growth trajectory.; Increased competition and evolving technology landscape necessitating continuous adaptation and investment.</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84.32/100</w:t>
            </w:r>
          </w:p>
        </w:tc>
      </w:tr>
      <w:tr>
        <w:tc>
          <w:tcPr>
            <w:tcW w:type="dxa" w:w="4986"/>
            <w:shd w:val="clear" w:color="auto" w:fill="E8F0FA"/>
          </w:tcPr>
          <w:p>
            <w:r>
              <w:rPr>
                <w:b/>
              </w:rPr>
              <w:t>Recommended Amount</w:t>
            </w:r>
          </w:p>
        </w:tc>
        <w:tc>
          <w:tcPr>
            <w:tcW w:type="dxa" w:w="4986"/>
          </w:tcPr>
          <w:p>
            <w:r>
              <w:t>₹50.0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60 months</w:t>
            </w:r>
          </w:p>
        </w:tc>
      </w:tr>
    </w:tbl>
    <w:p/>
    <w:p>
      <w:r>
        <w:rPr>
          <w:b/>
        </w:rPr>
        <w:t xml:space="preserve">Rationale: </w:t>
      </w:r>
      <w:r>
        <w:t>The lending request for Infosys Limited is APPROVED, reflecting an 'AA' rating and a strong Blended Risk Score of 84.32/100. This decision is primarily driven by the exceptional 'Character' (95) and robust 'Capacity' (88) scores, evidenced by a 'Good' promoter reputation, no adverse signals, and impressive financial growth including 7.9% revenue and 11.8% profit growth with an 88.8x DSCR. A healthy 'Capital' structure (78) with a 2.27x current ratio and adequate 'Collateral' (68) from significant total assets further support this, despite 'Conditions' (70) reflecting mixed sector sentiment amidst AI disruptions. The company's 'Leader' position in the Indian IT services sector provides a strong operational foundation for the proposed expansion.</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12:14</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