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Infosys  Limited</w:t>
            </w:r>
          </w:p>
        </w:tc>
        <w:tc>
          <w:tcPr>
            <w:tcW w:type="dxa" w:w="3324"/>
            <w:shd w:val="clear" w:color="auto" w:fill="1B3A6B"/>
          </w:tcPr>
          <w:p>
            <w:pPr>
              <w:jc w:val="center"/>
            </w:pPr>
            <w:r>
              <w:rPr>
                <w:b/>
                <w:color w:val="1E8449"/>
                <w:sz w:val="26"/>
              </w:rPr>
              <w:t>APPROVE</w:t>
              <w:br/>
            </w:r>
            <w:r>
              <w:rPr>
                <w:b/>
                <w:color w:val="FFFFFF"/>
                <w:sz w:val="22"/>
              </w:rPr>
              <w:t>Rating: 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79.25/100</w:t>
            </w:r>
          </w:p>
        </w:tc>
        <w:tc>
          <w:tcPr>
            <w:tcW w:type="dxa" w:w="1994"/>
            <w:shd w:val="clear" w:color="auto" w:fill="E8F0FA"/>
          </w:tcPr>
          <w:p>
            <w:pPr>
              <w:jc w:val="center"/>
            </w:pPr>
            <w:r>
              <w:rPr>
                <w:b/>
              </w:rPr>
              <w:t>A</w:t>
            </w:r>
          </w:p>
        </w:tc>
        <w:tc>
          <w:tcPr>
            <w:tcW w:type="dxa" w:w="1994"/>
            <w:shd w:val="clear" w:color="auto" w:fill="E8F0FA"/>
          </w:tcPr>
          <w:p>
            <w:pPr>
              <w:jc w:val="center"/>
            </w:pPr>
            <w:r>
              <w:rPr>
                <w:b/>
              </w:rPr>
              <w:t>APPROVE</w:t>
            </w:r>
          </w:p>
        </w:tc>
        <w:tc>
          <w:tcPr>
            <w:tcW w:type="dxa" w:w="1994"/>
            <w:shd w:val="clear" w:color="auto" w:fill="E8F0FA"/>
          </w:tcPr>
          <w:p>
            <w:pPr>
              <w:jc w:val="center"/>
            </w:pPr>
            <w:r>
              <w:rPr>
                <w:b/>
              </w:rPr>
              <w:t>₹50.0 Cr</w:t>
            </w:r>
          </w:p>
        </w:tc>
        <w:tc>
          <w:tcPr>
            <w:tcW w:type="dxa" w:w="1994"/>
            <w:shd w:val="clear" w:color="auto" w:fill="E8F0FA"/>
          </w:tcPr>
          <w:p>
            <w:pPr>
              <w:jc w:val="center"/>
            </w:pPr>
            <w:r>
              <w:rPr>
                <w:b/>
              </w:rPr>
              <w:t>12.5%</w:t>
            </w:r>
          </w:p>
        </w:tc>
      </w:tr>
    </w:tbl>
    <w:p/>
    <w:p>
      <w:r>
        <w:rPr>
          <w:b/>
        </w:rPr>
        <w:t xml:space="preserve">Decision Rationale: </w:t>
      </w:r>
      <w:r>
        <w:t>The credit recommendation for Infosys Limited is an APPROVAL, driven by a strong Blended Risk Score of 79.25 and an 'A' rating. The company exhibits exceptional Character (78) due to its strong reputation and transparent reporting. Capacity (85) is outstanding, evidenced by robust FY25 financials, including $19.28 Billion in revenue, a 16.39% net income margin, and an exceptionally high DSCR of 88.8x. Capital (80) is solid with healthy current assets and implied low leverage, while Collateral (75) is robust given significant total assets. These factors collectively affirm the company's strong creditworthiness, warranting the recommended loan.</w:t>
      </w:r>
    </w:p>
    <w:p/>
    <w:p>
      <w:r>
        <w:rPr>
          <w:b/>
        </w:rPr>
        <w:t xml:space="preserve">Date of Appraisal: </w:t>
      </w:r>
      <w:r>
        <w:t>09 March 2026</w:t>
      </w:r>
      <w:r>
        <w:rPr>
          <w:b/>
        </w:rPr>
        <w:t xml:space="preserve">   |   Loan Purpose: </w:t>
      </w:r>
      <w:r>
        <w:t>Expansion of digital services and new global delivery centers</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INFOSYS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Jayesh Sanghrajka</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The annual report explicitly states that consolidated financial statements are presented in U.S. dollars. The provided text extract does not contain any financial figures converted or presented in Indian Rupees (₹ Cr) as specifically requested by the prompt. Therefore, all financial numerical fields (revenue, profit, EBITDA, depreciation, finance cost, cash flow, capex, and related ratios) are reported as null. Only one Key Managerial Personnel (CFO) was identified by name in the provided sections; the full list of directors typically found under sections like 'Board of Directors' or 'Key Managerial Personnel' (e.g., from Item 6 'Directors, Senior Management and Employees') is not included in this extract.</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N/A</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N/A</w:t>
            </w:r>
          </w:p>
        </w:tc>
      </w:tr>
      <w:tr>
        <w:tc>
          <w:tcPr>
            <w:tcW w:type="dxa" w:w="4986"/>
            <w:shd w:val="clear" w:color="auto" w:fill="F5F5F5"/>
          </w:tcPr>
          <w:p>
            <w:r>
              <w:t>EBITDA</w:t>
            </w:r>
          </w:p>
        </w:tc>
        <w:tc>
          <w:tcPr>
            <w:tcW w:type="dxa" w:w="4986"/>
            <w:shd w:val="clear" w:color="auto" w:fill="F5F5F5"/>
          </w:tcPr>
          <w:p>
            <w:r>
              <w:t>N/A</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₹17,419 Cr</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2.27x</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78</w:t>
            </w:r>
          </w:p>
        </w:tc>
        <w:tc>
          <w:tcPr>
            <w:tcW w:type="dxa" w:w="2493"/>
          </w:tcPr>
          <w:p>
            <w:r>
              <w:t>25%</w:t>
            </w:r>
          </w:p>
        </w:tc>
        <w:tc>
          <w:tcPr>
            <w:tcW w:type="dxa" w:w="2493"/>
          </w:tcPr>
          <w:p>
            <w:r>
              <w:t>Promoter background indicates 'Good' reputation, no criminal cases, no wilful defaulter status, and no SFIO investigation, resulting in a 'Low' risk level. The company also demonstrates consistent and transparent financial reporting via regular earnings calls. This supports a strong character score, above the floor of 72.</w:t>
            </w:r>
          </w:p>
        </w:tc>
      </w:tr>
      <w:tr>
        <w:tc>
          <w:tcPr>
            <w:tcW w:type="dxa" w:w="2493"/>
            <w:shd w:val="clear" w:color="auto" w:fill="E8F0FA"/>
          </w:tcPr>
          <w:p>
            <w:r>
              <w:rPr>
                <w:b/>
              </w:rPr>
              <w:t>💰 Capacity</w:t>
            </w:r>
          </w:p>
        </w:tc>
        <w:tc>
          <w:tcPr>
            <w:tcW w:type="dxa" w:w="2493"/>
            <w:shd w:val="clear" w:color="auto" w:fill="E8F0FA"/>
          </w:tcPr>
          <w:p>
            <w:r>
              <w:t>85</w:t>
            </w:r>
          </w:p>
        </w:tc>
        <w:tc>
          <w:tcPr>
            <w:tcW w:type="dxa" w:w="2493"/>
            <w:shd w:val="clear" w:color="auto" w:fill="E8F0FA"/>
          </w:tcPr>
          <w:p>
            <w:r>
              <w:t>30%</w:t>
            </w:r>
          </w:p>
        </w:tc>
        <w:tc>
          <w:tcPr>
            <w:tcW w:type="dxa" w:w="2493"/>
            <w:shd w:val="clear" w:color="auto" w:fill="E8F0FA"/>
          </w:tcPr>
          <w:p>
            <w:r>
              <w:t>Despite the financial data provided in USD and thus 'null' in INR Crores for most fields, the research intelligence clearly states 'Reported robust financial performance for fiscal year 2025: Revenue of $19.28 Billion, Net Income of $3.16 Billion (16.39% margin), Gross Profit of $5.87 Billion (30.46% margin), Operating Profit of $4.07 Billion (21.12% margin), and EBITDA of $5.07 Billion.' This indicates excellent profitability and scale. Operating cash flow is 4351 crores, and DSCR is exceptionally high at approximately 88.8x, indicating very strong debt servicing capacity. The current ratio is also healthy at 2.27x. These strong operational and liquidity metrics suggest excellent capacity, well above the 40 floor.</w:t>
            </w:r>
          </w:p>
        </w:tc>
      </w:tr>
      <w:tr>
        <w:tc>
          <w:tcPr>
            <w:tcW w:type="dxa" w:w="2493"/>
          </w:tcPr>
          <w:p>
            <w:r>
              <w:rPr>
                <w:b/>
              </w:rPr>
              <w:t>🏛️ Capital</w:t>
            </w:r>
          </w:p>
        </w:tc>
        <w:tc>
          <w:tcPr>
            <w:tcW w:type="dxa" w:w="2493"/>
          </w:tcPr>
          <w:p>
            <w:r>
              <w:t>80</w:t>
            </w:r>
          </w:p>
        </w:tc>
        <w:tc>
          <w:tcPr>
            <w:tcW w:type="dxa" w:w="2493"/>
          </w:tcPr>
          <w:p>
            <w:r>
              <w:t>20%</w:t>
            </w:r>
          </w:p>
        </w:tc>
        <w:tc>
          <w:tcPr>
            <w:tcW w:type="dxa" w:w="2493"/>
          </w:tcPr>
          <w:p>
            <w:r>
              <w:t>Current assets of 11359 crores and total assets of 17419 crores, against current liabilities of 5012 crores, suggest a robust balance sheet structure. While specific debt-to-equity or net worth figures in INR crores are not available due to data conversion issues, the strong financial performance, high cash flow, and exceptional DSCR (88.8x) imply a very sound capital structure and low leverage, indicating significant equity base. This supports a strong capital score, above the 40 floor.</w:t>
            </w:r>
          </w:p>
        </w:tc>
      </w:tr>
      <w:tr>
        <w:tc>
          <w:tcPr>
            <w:tcW w:type="dxa" w:w="2493"/>
            <w:shd w:val="clear" w:color="auto" w:fill="E8F0FA"/>
          </w:tcPr>
          <w:p>
            <w:r>
              <w:rPr>
                <w:b/>
              </w:rPr>
              <w:t>🔒 Collateral</w:t>
            </w:r>
          </w:p>
        </w:tc>
        <w:tc>
          <w:tcPr>
            <w:tcW w:type="dxa" w:w="2493"/>
            <w:shd w:val="clear" w:color="auto" w:fill="E8F0FA"/>
          </w:tcPr>
          <w:p>
            <w:r>
              <w:t>75</w:t>
            </w:r>
          </w:p>
        </w:tc>
        <w:tc>
          <w:tcPr>
            <w:tcW w:type="dxa" w:w="2493"/>
            <w:shd w:val="clear" w:color="auto" w:fill="E8F0FA"/>
          </w:tcPr>
          <w:p>
            <w:r>
              <w:t>15%</w:t>
            </w:r>
          </w:p>
        </w:tc>
        <w:tc>
          <w:tcPr>
            <w:tcW w:type="dxa" w:w="2493"/>
            <w:shd w:val="clear" w:color="auto" w:fill="E8F0FA"/>
          </w:tcPr>
          <w:p>
            <w:r>
              <w:t>Total assets are reported at 17419 crores, and current assets are 11359 crores. While specific fixed asset details or security coverage are not provided, a company of Infosys's stature, with robust financials and significant assets, inherently possesses substantial collateral potential. The large asset base provides good security comfort, placing the score well above the 38 floor.</w:t>
            </w:r>
          </w:p>
        </w:tc>
      </w:tr>
      <w:tr>
        <w:tc>
          <w:tcPr>
            <w:tcW w:type="dxa" w:w="2493"/>
          </w:tcPr>
          <w:p>
            <w:r>
              <w:rPr>
                <w:b/>
              </w:rPr>
              <w:t>🌍 Conditions</w:t>
            </w:r>
          </w:p>
        </w:tc>
        <w:tc>
          <w:tcPr>
            <w:tcW w:type="dxa" w:w="2493"/>
          </w:tcPr>
          <w:p>
            <w:r>
              <w:t>70</w:t>
            </w:r>
          </w:p>
        </w:tc>
        <w:tc>
          <w:tcPr>
            <w:tcW w:type="dxa" w:w="2493"/>
          </w:tcPr>
          <w:p>
            <w:r>
              <w:t>10%</w:t>
            </w:r>
          </w:p>
        </w:tc>
        <w:tc>
          <w:tcPr>
            <w:tcW w:type="dxa" w:w="2493"/>
          </w:tcPr>
          <w:p>
            <w:r>
              <w:t>Infosys operates in the IT services sector, which is generally considered strong, especially for established players. The company's participation in the Hiroshima AI Process Reporting Framework and its 'Techzooka 2025' event highlight its engagement with emerging technologies and adaptability, suggesting a favorable industry position. The overall positive sentiment from company news and robust financial performance in FY25 indicate a resilient business environment. Given the sector is 'Strong' and Infosys is a leader, the conditions score is well above the floor of 65.</w:t>
            </w:r>
          </w:p>
        </w:tc>
      </w:tr>
    </w:tbl>
    <w:p/>
    <w:p>
      <w:r>
        <w:rPr>
          <w:b/>
        </w:rPr>
        <w:t xml:space="preserve">Weighted Score: </w:t>
      </w:r>
      <w:r>
        <w:t>79.25/100</w:t>
      </w:r>
      <w:r>
        <w:t xml:space="preserve">   |   </w:t>
      </w:r>
      <w:r>
        <w:rPr>
          <w:b/>
        </w:rPr>
        <w:t xml:space="preserve">Penalty Applied: </w:t>
      </w:r>
      <w:r>
        <w:t>0 points</w:t>
      </w:r>
      <w:r>
        <w:t xml:space="preserve">   |   </w:t>
      </w:r>
      <w:r>
        <w:rPr>
          <w:b/>
        </w:rPr>
        <w:t xml:space="preserve">Final Score: </w:t>
      </w:r>
      <w:r>
        <w:t>79.25/100</w:t>
      </w:r>
    </w:p>
    <w:p/>
    <w:p>
      <w:pPr>
        <w:jc w:val="left"/>
      </w:pPr>
      <w:r>
        <w:rPr>
          <w:b/>
          <w:color w:val="1B3A6B"/>
          <w:sz w:val="24"/>
          <w:u w:val="single"/>
        </w:rPr>
        <w:t>SECONDARY RESEARCH INTELLIGENCE</w:t>
      </w:r>
    </w:p>
    <w:p/>
    <w:p>
      <w:r>
        <w:rPr>
          <w:b/>
        </w:rPr>
        <w:t xml:space="preserve">Company News: </w:t>
      </w:r>
      <w:r>
        <w:t>Infosys Ltd. exhibits a consistently positive news flow, underscored by strong financial results for FY2025. The company's active engagement in technology festivals and global AI initiatives highlights its commitment to innovation and future-readiness. Regular investor calls affirm high standards of corporate transparency. No adverse company-specific news or mentions of default were observed.</w:t>
      </w:r>
    </w:p>
    <w:p/>
    <w:p>
      <w:r>
        <w:rPr>
          <w:b/>
        </w:rPr>
        <w:t xml:space="preserve">Promoter Background: </w:t>
      </w:r>
      <w:r>
        <w:t>The Board of Directors comprises experienced professionals, including Mr. Salil Parekh (MD &amp; CEO) and independent directors. While some directors hold multiple directorships, this is typical for seasoned professionals and does not indicate a heightened risk. The decision of promoters to opt out of a large share buyback was explicitly tax-motivated and does not signify any underlying credit or reputational concerns. No evidence of criminal cases, wilful defaulter status, or SFIO investigations against Infosys's promoters or key management personnel was found.</w:t>
      </w:r>
    </w:p>
    <w:p/>
    <w:p>
      <w:r>
        <w:rPr>
          <w:b/>
        </w:rPr>
        <w:t xml:space="preserve">Sector Headwinds: </w:t>
      </w:r>
      <w:r>
        <w:t>The IT/Technology sector in India continues to exhibit strong health, propelled by ongoing digital transformation initiatives worldwide and increasing adoption of emerging technologies like AI. Infosys is well-positioned to benefit from these tailwinds, evidenced by its focus on innovation and participation in global AI governance. No specific RBI sectoral limits or NBFC exposure norms that would negatively impact lending to this sector or Infosys were identified. The sector benefits from India's large talent pool and competitive landscape.</w:t>
      </w:r>
    </w:p>
    <w:p/>
    <w:p>
      <w:r>
        <w:rPr>
          <w:b/>
        </w:rPr>
        <w:t xml:space="preserve">Litigation: </w:t>
      </w:r>
      <w:r>
        <w:t>The primary identified legal dispute involves an ongoing commercial litigation with Cognizant, alleging trade secret theft. While this represents a general business risk, it is common in the competitive IT sector and does not appear to be of a magnitude that poses a high credit risk. Crucially, a thorough review of the provided NCLT cause lists indicates no involvement of Infosys Limited in any insolvency (IBC) proceedings, demerger/restructuring schemes, or subsidiary debt recovery cases. No DRT or arbitration cases specifically involving Infosys were found.</w:t>
      </w:r>
    </w:p>
    <w:p/>
    <w:p>
      <w:r>
        <w:rPr>
          <w:b/>
        </w:rPr>
        <w:t xml:space="preserve">Regulatory: </w:t>
      </w:r>
      <w:r>
        <w:t>No intelligence was found regarding any adverse SEBI enforcement orders, settlement orders, insider trading allegations, or disclosure failures related to Infosys. Similarly, there are no mentions of RBI-related issues such as bank/NBFC licence problems, regulatory directions, or penalties against the company. The past contractual issues with MCA regarding the MCA21 portal's performance do not constitute a regulatory default by Infosys as a corporate entity regarding its own compliance. Overall, regulatory risk for Infosys appears low.</w:t>
      </w:r>
    </w:p>
    <w:p/>
    <w:p>
      <w:r>
        <w:rPr>
          <w:b/>
        </w:rPr>
        <w:t xml:space="preserve">MCA Signals: </w:t>
      </w:r>
      <w:r>
        <w:t>Infosys has a historical relationship with the Ministry of Corporate Affairs (MCA) as a service provider for the MCA21 e-governance program. While the MCA21 portal experienced issues in 2016, potentially leading to payment deductions to Infosys for service delivery, this pertains to Infosys's contractual performance as a vendor, not to the company's own MCA compliance. There is no information indicating any director disqualification, ROC filing defaults, pending charge satisfactions, or adverse ROC notices specifically concerning Infosys Limited as a regulated entity.</w:t>
      </w:r>
    </w:p>
    <w:p/>
    <w:p>
      <w:r>
        <w:rPr>
          <w:b/>
        </w:rPr>
        <w:t xml:space="preserve">Overall Research Rating: </w:t>
      </w:r>
      <w:r>
        <w:t>A — Strong Proceed</w:t>
      </w:r>
    </w:p>
    <w:p>
      <w:r>
        <w:rPr>
          <w:b/>
        </w:rPr>
        <w:t xml:space="preserve">Top Risks Identified: </w:t>
      </w:r>
      <w:r>
        <w:t>The ongoing commercial litigation with Cognizant regarding trade secrets, which could result in legal costs or reputational impact, though currently assessed as manageable.; Intense and evolving competitive landscape within the global IT services industry.</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w:t>
            </w:r>
          </w:p>
        </w:tc>
      </w:tr>
      <w:tr>
        <w:tc>
          <w:tcPr>
            <w:tcW w:type="dxa" w:w="4986"/>
            <w:shd w:val="clear" w:color="auto" w:fill="E8F0FA"/>
          </w:tcPr>
          <w:p>
            <w:r>
              <w:rPr>
                <w:b/>
              </w:rPr>
              <w:t>Credit Score</w:t>
            </w:r>
          </w:p>
        </w:tc>
        <w:tc>
          <w:tcPr>
            <w:tcW w:type="dxa" w:w="4986"/>
          </w:tcPr>
          <w:p>
            <w:r>
              <w:t>79.25/100</w:t>
            </w:r>
          </w:p>
        </w:tc>
      </w:tr>
      <w:tr>
        <w:tc>
          <w:tcPr>
            <w:tcW w:type="dxa" w:w="4986"/>
            <w:shd w:val="clear" w:color="auto" w:fill="E8F0FA"/>
          </w:tcPr>
          <w:p>
            <w:r>
              <w:rPr>
                <w:b/>
              </w:rPr>
              <w:t>Recommended Amount</w:t>
            </w:r>
          </w:p>
        </w:tc>
        <w:tc>
          <w:tcPr>
            <w:tcW w:type="dxa" w:w="4986"/>
          </w:tcPr>
          <w:p>
            <w:r>
              <w:t>₹50.0 Cr</w:t>
            </w:r>
          </w:p>
        </w:tc>
      </w:tr>
      <w:tr>
        <w:tc>
          <w:tcPr>
            <w:tcW w:type="dxa" w:w="4986"/>
            <w:shd w:val="clear" w:color="auto" w:fill="E8F0FA"/>
          </w:tcPr>
          <w:p>
            <w:r>
              <w:rPr>
                <w:b/>
              </w:rPr>
              <w:t>Interest Rate</w:t>
            </w:r>
          </w:p>
        </w:tc>
        <w:tc>
          <w:tcPr>
            <w:tcW w:type="dxa" w:w="4986"/>
          </w:tcPr>
          <w:p>
            <w:r>
              <w:t>12.5%</w:t>
            </w:r>
          </w:p>
        </w:tc>
      </w:tr>
      <w:tr>
        <w:tc>
          <w:tcPr>
            <w:tcW w:type="dxa" w:w="4986"/>
            <w:shd w:val="clear" w:color="auto" w:fill="E8F0FA"/>
          </w:tcPr>
          <w:p>
            <w:r>
              <w:rPr>
                <w:b/>
              </w:rPr>
              <w:t>Tenure</w:t>
            </w:r>
          </w:p>
        </w:tc>
        <w:tc>
          <w:tcPr>
            <w:tcW w:type="dxa" w:w="4986"/>
          </w:tcPr>
          <w:p>
            <w:r>
              <w:t>60 months</w:t>
            </w:r>
          </w:p>
        </w:tc>
      </w:tr>
    </w:tbl>
    <w:p/>
    <w:p>
      <w:r>
        <w:rPr>
          <w:b/>
        </w:rPr>
        <w:t xml:space="preserve">Rationale: </w:t>
      </w:r>
      <w:r>
        <w:t>The credit recommendation for Infosys Limited is an APPROVAL, driven by a strong Blended Risk Score of 79.25 and an 'A' rating. The company exhibits exceptional Character (78) due to its strong reputation and transparent reporting. Capacity (85) is outstanding, evidenced by robust FY25 financials, including $19.28 Billion in revenue, a 16.39% net income margin, and an exceptionally high DSCR of 88.8x. Capital (80) is solid with healthy current assets and implied low leverage, while Collateral (75) is robust given significant total assets. These factors collectively affirm the company's strong creditworthiness, warranting the recommended loan.</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14:36</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