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Infosys  Limited</w:t>
            </w:r>
          </w:p>
        </w:tc>
        <w:tc>
          <w:tcPr>
            <w:tcW w:type="dxa" w:w="3324"/>
            <w:shd w:val="clear" w:color="auto" w:fill="1B3A6B"/>
          </w:tcPr>
          <w:p>
            <w:pPr>
              <w:jc w:val="center"/>
            </w:pPr>
            <w:r>
              <w:rPr>
                <w:b/>
                <w:color w:val="C0392B"/>
                <w:sz w:val="26"/>
              </w:rPr>
              <w:t>N/A</w:t>
              <w:br/>
            </w:r>
            <w:r>
              <w:rPr>
                <w:b/>
                <w:color w:val="FFFFFF"/>
                <w:sz w:val="22"/>
              </w:rPr>
              <w:t>Rating: N/A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0/100</w:t>
            </w:r>
          </w:p>
        </w:tc>
        <w:tc>
          <w:tcPr>
            <w:tcW w:type="dxa" w:w="1994"/>
            <w:shd w:val="clear" w:color="auto" w:fill="E8F0FA"/>
          </w:tcPr>
          <w:p>
            <w:pPr>
              <w:jc w:val="center"/>
            </w:pPr>
            <w:r>
              <w:rPr>
                <w:b/>
              </w:rPr>
              <w:t>N/A</w:t>
            </w:r>
          </w:p>
        </w:tc>
        <w:tc>
          <w:tcPr>
            <w:tcW w:type="dxa" w:w="1994"/>
            <w:shd w:val="clear" w:color="auto" w:fill="E8F0FA"/>
          </w:tcPr>
          <w:p>
            <w:pPr>
              <w:jc w:val="center"/>
            </w:pPr>
            <w:r>
              <w:rPr>
                <w:b/>
              </w:rPr>
              <w:t>N/A</w:t>
            </w:r>
          </w:p>
        </w:tc>
        <w:tc>
          <w:tcPr>
            <w:tcW w:type="dxa" w:w="1994"/>
            <w:shd w:val="clear" w:color="auto" w:fill="E8F0FA"/>
          </w:tcPr>
          <w:p>
            <w:pPr>
              <w:jc w:val="center"/>
            </w:pPr>
            <w:r>
              <w:rPr>
                <w:b/>
              </w:rPr>
              <w:t>₹500 Cr</w:t>
            </w:r>
          </w:p>
        </w:tc>
        <w:tc>
          <w:tcPr>
            <w:tcW w:type="dxa" w:w="1994"/>
            <w:shd w:val="clear" w:color="auto" w:fill="E8F0FA"/>
          </w:tcPr>
          <w:p>
            <w:pPr>
              <w:jc w:val="center"/>
            </w:pPr>
            <w:r>
              <w:rPr>
                <w:b/>
              </w:rPr>
              <w:t>N/A</w:t>
            </w:r>
          </w:p>
        </w:tc>
      </w:tr>
    </w:tbl>
    <w:p/>
    <w:p>
      <w:r>
        <w:rPr>
          <w:b/>
        </w:rPr>
        <w:t xml:space="preserve">Decision Rationale: </w:t>
      </w:r>
      <w:r>
        <w:t>See Five Cs analysis below.</w:t>
      </w:r>
    </w:p>
    <w:p/>
    <w:p>
      <w:r>
        <w:rPr>
          <w:b/>
        </w:rPr>
        <w:t xml:space="preserve">Date of Appraisal: </w:t>
      </w:r>
      <w:r>
        <w:t>09 March 2026</w:t>
      </w:r>
      <w:r>
        <w:rPr>
          <w:b/>
        </w:rPr>
        <w:t xml:space="preserve">   |   Loan Purpose: </w:t>
      </w:r>
      <w:r>
        <w:t>Expansion of digital services and new global delivery centers</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Tata Motors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Not extracted</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₹439,695 Cr</w:t>
            </w:r>
          </w:p>
        </w:tc>
      </w:tr>
      <w:tr>
        <w:tc>
          <w:tcPr>
            <w:tcW w:type="dxa" w:w="4986"/>
            <w:shd w:val="clear" w:color="auto" w:fill="F5F5F5"/>
          </w:tcPr>
          <w:p>
            <w:r>
              <w:t>Revenue Growth</w:t>
            </w:r>
          </w:p>
        </w:tc>
        <w:tc>
          <w:tcPr>
            <w:tcW w:type="dxa" w:w="4986"/>
            <w:shd w:val="clear" w:color="auto" w:fill="F5F5F5"/>
          </w:tcPr>
          <w:p>
            <w:r>
              <w:t>N/A</w:t>
            </w:r>
          </w:p>
        </w:tc>
      </w:tr>
      <w:tr>
        <w:tc>
          <w:tcPr>
            <w:tcW w:type="dxa" w:w="4986"/>
          </w:tcPr>
          <w:p>
            <w:r>
              <w:t>Profit After Tax</w:t>
            </w:r>
          </w:p>
        </w:tc>
        <w:tc>
          <w:tcPr>
            <w:tcW w:type="dxa" w:w="4986"/>
          </w:tcPr>
          <w:p>
            <w:r>
              <w:t>₹28,149 Cr</w:t>
            </w:r>
          </w:p>
        </w:tc>
      </w:tr>
      <w:tr>
        <w:tc>
          <w:tcPr>
            <w:tcW w:type="dxa" w:w="4986"/>
            <w:shd w:val="clear" w:color="auto" w:fill="F5F5F5"/>
          </w:tcPr>
          <w:p>
            <w:r>
              <w:t>EBITDA</w:t>
            </w:r>
          </w:p>
        </w:tc>
        <w:tc>
          <w:tcPr>
            <w:tcW w:type="dxa" w:w="4986"/>
            <w:shd w:val="clear" w:color="auto" w:fill="F5F5F5"/>
          </w:tcPr>
          <w:p>
            <w:r>
              <w:t>₹57,649 Cr</w:t>
            </w:r>
          </w:p>
        </w:tc>
      </w:tr>
      <w:tr>
        <w:tc>
          <w:tcPr>
            <w:tcW w:type="dxa" w:w="4986"/>
          </w:tcPr>
          <w:p>
            <w:r>
              <w:t>EBITDA Margin</w:t>
            </w:r>
          </w:p>
        </w:tc>
        <w:tc>
          <w:tcPr>
            <w:tcW w:type="dxa" w:w="4986"/>
          </w:tcPr>
          <w:p>
            <w:r>
              <w:t>13.1%</w:t>
            </w:r>
          </w:p>
        </w:tc>
      </w:tr>
      <w:tr>
        <w:tc>
          <w:tcPr>
            <w:tcW w:type="dxa" w:w="4986"/>
            <w:shd w:val="clear" w:color="auto" w:fill="F5F5F5"/>
          </w:tcPr>
          <w:p>
            <w:r>
              <w:t>Total Assets</w:t>
            </w:r>
          </w:p>
        </w:tc>
        <w:tc>
          <w:tcPr>
            <w:tcW w:type="dxa" w:w="4986"/>
            <w:shd w:val="clear" w:color="auto" w:fill="F5F5F5"/>
          </w:tcPr>
          <w:p>
            <w:r>
              <w:t>₹378,642 Cr</w:t>
            </w:r>
          </w:p>
        </w:tc>
      </w:tr>
      <w:tr>
        <w:tc>
          <w:tcPr>
            <w:tcW w:type="dxa" w:w="4986"/>
          </w:tcPr>
          <w:p>
            <w:r>
              <w:t>Net Worth</w:t>
            </w:r>
          </w:p>
        </w:tc>
        <w:tc>
          <w:tcPr>
            <w:tcW w:type="dxa" w:w="4986"/>
          </w:tcPr>
          <w:p>
            <w:r>
              <w:t>N/A</w:t>
            </w:r>
          </w:p>
        </w:tc>
      </w:tr>
      <w:tr>
        <w:tc>
          <w:tcPr>
            <w:tcW w:type="dxa" w:w="4986"/>
            <w:shd w:val="clear" w:color="auto" w:fill="F5F5F5"/>
          </w:tcPr>
          <w:p>
            <w:r>
              <w:t>Total Borrowings</w:t>
            </w:r>
          </w:p>
        </w:tc>
        <w:tc>
          <w:tcPr>
            <w:tcW w:type="dxa" w:w="4986"/>
            <w:shd w:val="clear" w:color="auto" w:fill="F5F5F5"/>
          </w:tcPr>
          <w:p>
            <w:r>
              <w:t>N/A</w:t>
            </w:r>
          </w:p>
        </w:tc>
      </w:tr>
      <w:tr>
        <w:tc>
          <w:tcPr>
            <w:tcW w:type="dxa" w:w="4986"/>
          </w:tcPr>
          <w:p>
            <w:r>
              <w:t>Debt / Equity</w:t>
            </w:r>
          </w:p>
        </w:tc>
        <w:tc>
          <w:tcPr>
            <w:tcW w:type="dxa" w:w="4986"/>
          </w:tcPr>
          <w:p>
            <w:r>
              <w:t>N/A</w:t>
            </w:r>
          </w:p>
        </w:tc>
      </w:tr>
      <w:tr>
        <w:tc>
          <w:tcPr>
            <w:tcW w:type="dxa" w:w="4986"/>
            <w:shd w:val="clear" w:color="auto" w:fill="F5F5F5"/>
          </w:tcPr>
          <w:p>
            <w:r>
              <w:t>Current Ratio</w:t>
            </w:r>
          </w:p>
        </w:tc>
        <w:tc>
          <w:tcPr>
            <w:tcW w:type="dxa" w:w="4986"/>
            <w:shd w:val="clear" w:color="auto" w:fill="F5F5F5"/>
          </w:tcPr>
          <w:p>
            <w:r>
              <w:t>N/A</w:t>
            </w:r>
          </w:p>
        </w:tc>
      </w:tr>
      <w:tr>
        <w:tc>
          <w:tcPr>
            <w:tcW w:type="dxa" w:w="4986"/>
          </w:tcPr>
          <w:p>
            <w:r>
              <w:t>Interest Coverage</w:t>
            </w:r>
          </w:p>
        </w:tc>
        <w:tc>
          <w:tcPr>
            <w:tcW w:type="dxa" w:w="4986"/>
          </w:tcPr>
          <w:p>
            <w:r>
              <w:t>N/A</w:t>
            </w:r>
          </w:p>
        </w:tc>
      </w:tr>
      <w:tr>
        <w:tc>
          <w:tcPr>
            <w:tcW w:type="dxa" w:w="4986"/>
            <w:shd w:val="clear" w:color="auto" w:fill="F5F5F5"/>
          </w:tcPr>
          <w:p>
            <w:r>
              <w:t>Return on Equity</w:t>
            </w:r>
          </w:p>
        </w:tc>
        <w:tc>
          <w:tcPr>
            <w:tcW w:type="dxa" w:w="4986"/>
            <w:shd w:val="clear" w:color="auto" w:fill="F5F5F5"/>
          </w:tcPr>
          <w:p>
            <w:r>
              <w:t>N/A</w:t>
            </w:r>
          </w:p>
        </w:tc>
      </w:tr>
    </w:tbl>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N/A</w:t>
            </w:r>
          </w:p>
        </w:tc>
        <w:tc>
          <w:tcPr>
            <w:tcW w:type="dxa" w:w="2493"/>
          </w:tcPr>
          <w:p>
            <w:r>
              <w:t>25%</w:t>
            </w:r>
          </w:p>
        </w:tc>
        <w:tc>
          <w:tcPr>
            <w:tcW w:type="dxa" w:w="2493"/>
          </w:tcPr>
          <w:p>
            <w:r>
              <w:t>N/A</w:t>
            </w:r>
          </w:p>
        </w:tc>
      </w:tr>
      <w:tr>
        <w:tc>
          <w:tcPr>
            <w:tcW w:type="dxa" w:w="2493"/>
            <w:shd w:val="clear" w:color="auto" w:fill="E8F0FA"/>
          </w:tcPr>
          <w:p>
            <w:r>
              <w:rPr>
                <w:b/>
              </w:rPr>
              <w:t>💰 Capacity</w:t>
            </w:r>
          </w:p>
        </w:tc>
        <w:tc>
          <w:tcPr>
            <w:tcW w:type="dxa" w:w="2493"/>
            <w:shd w:val="clear" w:color="auto" w:fill="E8F0FA"/>
          </w:tcPr>
          <w:p>
            <w:r>
              <w:t>N/A</w:t>
            </w:r>
          </w:p>
        </w:tc>
        <w:tc>
          <w:tcPr>
            <w:tcW w:type="dxa" w:w="2493"/>
            <w:shd w:val="clear" w:color="auto" w:fill="E8F0FA"/>
          </w:tcPr>
          <w:p>
            <w:r>
              <w:t>30%</w:t>
            </w:r>
          </w:p>
        </w:tc>
        <w:tc>
          <w:tcPr>
            <w:tcW w:type="dxa" w:w="2493"/>
            <w:shd w:val="clear" w:color="auto" w:fill="E8F0FA"/>
          </w:tcPr>
          <w:p>
            <w:r>
              <w:t>N/A</w:t>
            </w:r>
          </w:p>
        </w:tc>
      </w:tr>
      <w:tr>
        <w:tc>
          <w:tcPr>
            <w:tcW w:type="dxa" w:w="2493"/>
          </w:tcPr>
          <w:p>
            <w:r>
              <w:rPr>
                <w:b/>
              </w:rPr>
              <w:t>🏛️ Capital</w:t>
            </w:r>
          </w:p>
        </w:tc>
        <w:tc>
          <w:tcPr>
            <w:tcW w:type="dxa" w:w="2493"/>
          </w:tcPr>
          <w:p>
            <w:r>
              <w:t>N/A</w:t>
            </w:r>
          </w:p>
        </w:tc>
        <w:tc>
          <w:tcPr>
            <w:tcW w:type="dxa" w:w="2493"/>
          </w:tcPr>
          <w:p>
            <w:r>
              <w:t>20%</w:t>
            </w:r>
          </w:p>
        </w:tc>
        <w:tc>
          <w:tcPr>
            <w:tcW w:type="dxa" w:w="2493"/>
          </w:tcPr>
          <w:p>
            <w:r>
              <w:t>N/A</w:t>
            </w:r>
          </w:p>
        </w:tc>
      </w:tr>
      <w:tr>
        <w:tc>
          <w:tcPr>
            <w:tcW w:type="dxa" w:w="2493"/>
            <w:shd w:val="clear" w:color="auto" w:fill="E8F0FA"/>
          </w:tcPr>
          <w:p>
            <w:r>
              <w:rPr>
                <w:b/>
              </w:rPr>
              <w:t>🔒 Collateral</w:t>
            </w:r>
          </w:p>
        </w:tc>
        <w:tc>
          <w:tcPr>
            <w:tcW w:type="dxa" w:w="2493"/>
            <w:shd w:val="clear" w:color="auto" w:fill="E8F0FA"/>
          </w:tcPr>
          <w:p>
            <w:r>
              <w:t>N/A</w:t>
            </w:r>
          </w:p>
        </w:tc>
        <w:tc>
          <w:tcPr>
            <w:tcW w:type="dxa" w:w="2493"/>
            <w:shd w:val="clear" w:color="auto" w:fill="E8F0FA"/>
          </w:tcPr>
          <w:p>
            <w:r>
              <w:t>15%</w:t>
            </w:r>
          </w:p>
        </w:tc>
        <w:tc>
          <w:tcPr>
            <w:tcW w:type="dxa" w:w="2493"/>
            <w:shd w:val="clear" w:color="auto" w:fill="E8F0FA"/>
          </w:tcPr>
          <w:p>
            <w:r>
              <w:t>N/A</w:t>
            </w:r>
          </w:p>
        </w:tc>
      </w:tr>
      <w:tr>
        <w:tc>
          <w:tcPr>
            <w:tcW w:type="dxa" w:w="2493"/>
          </w:tcPr>
          <w:p>
            <w:r>
              <w:rPr>
                <w:b/>
              </w:rPr>
              <w:t>🌍 Conditions</w:t>
            </w:r>
          </w:p>
        </w:tc>
        <w:tc>
          <w:tcPr>
            <w:tcW w:type="dxa" w:w="2493"/>
          </w:tcPr>
          <w:p>
            <w:r>
              <w:t>N/A</w:t>
            </w:r>
          </w:p>
        </w:tc>
        <w:tc>
          <w:tcPr>
            <w:tcW w:type="dxa" w:w="2493"/>
          </w:tcPr>
          <w:p>
            <w:r>
              <w:t>10%</w:t>
            </w:r>
          </w:p>
        </w:tc>
        <w:tc>
          <w:tcPr>
            <w:tcW w:type="dxa" w:w="2493"/>
          </w:tcPr>
          <w:p>
            <w:r>
              <w:t>N/A</w:t>
            </w:r>
          </w:p>
        </w:tc>
      </w:tr>
    </w:tbl>
    <w:p/>
    <w:p>
      <w:r>
        <w:rPr>
          <w:b/>
        </w:rPr>
        <w:t xml:space="preserve">Weighted Score: </w:t>
      </w:r>
      <w:r>
        <w:t>N/A/100</w:t>
      </w:r>
      <w:r>
        <w:t xml:space="preserve">   |   </w:t>
      </w:r>
      <w:r>
        <w:rPr>
          <w:b/>
        </w:rPr>
        <w:t xml:space="preserve">Penalty Applied: </w:t>
      </w:r>
      <w:r>
        <w:t>0 points</w:t>
      </w:r>
      <w:r>
        <w:t xml:space="preserve">   |   </w:t>
      </w:r>
      <w:r>
        <w:rPr>
          <w:b/>
        </w:rPr>
        <w:t xml:space="preserve">Final Score: </w:t>
      </w:r>
      <w:r>
        <w:t>N/A/100</w:t>
      </w:r>
    </w:p>
    <w:p/>
    <w:p>
      <w:pPr>
        <w:jc w:val="left"/>
      </w:pPr>
      <w:r>
        <w:rPr>
          <w:b/>
          <w:color w:val="1B3A6B"/>
          <w:sz w:val="24"/>
          <w:u w:val="single"/>
        </w:rPr>
        <w:t>SECONDARY RESEARCH INTELLIGENCE</w:t>
      </w:r>
    </w:p>
    <w:p/>
    <w:p>
      <w:r>
        <w:rPr>
          <w:b/>
        </w:rPr>
        <w:t xml:space="preserve">Company News: </w:t>
      </w:r>
      <w:r>
        <w:t>Infosys reported modest revenue growth in Q3FY26 with a 1.7% YoY and 0.6% QoQ increase in constant currency terms, reaching Rs 45,479 crore. No significant adverse events or defaults were reported, indicating a stable operational performance based on the available information.</w:t>
      </w:r>
    </w:p>
    <w:p/>
    <w:p>
      <w:r>
        <w:rPr>
          <w:b/>
        </w:rPr>
        <w:t xml:space="preserve">Promoter Background: </w:t>
      </w:r>
      <w:r>
        <w:t>Based on the provided intelligence, there is no information indicating any criminal cases, wilful defaulter status, or SFIO investigations against the named promoter, N. Chandrasekharan, or Infosys Limited. The general reference to 'wilful defaulter' in one source is definitional and not an accusation against the company or its promoter.</w:t>
      </w:r>
    </w:p>
    <w:p/>
    <w:p>
      <w:r>
        <w:rPr>
          <w:b/>
        </w:rPr>
        <w:t xml:space="preserve">Sector Headwinds: </w:t>
      </w:r>
      <w:r>
        <w:t>Infosys operates in the IT Consulting &amp; Software sector (not Manufacturing, as stated in the prompt, but inferred from company news). The sector appears stable, with no specific headwinds identified. General RBI regulatory changes regarding lending norms and ECBs are observed, which could act as tailwinds for Indian companies by improving access to credit and foreign capital.</w:t>
      </w:r>
    </w:p>
    <w:p/>
    <w:p>
      <w:r>
        <w:rPr>
          <w:b/>
        </w:rPr>
        <w:t xml:space="preserve">Litigation: </w:t>
      </w:r>
      <w:r>
        <w:t>While there is a reference to an NCLT proceeding (CP (IB) No. 624/MB/2022) related to an operational creditor's application under IBC, the provided text does not name Infosys Limited as the Corporate Debtor or a party directly involved. Therefore, no direct NCLT or IBC insolvency risks are attributable to Infosys based on the given information.</w:t>
      </w:r>
    </w:p>
    <w:p/>
    <w:p>
      <w:r>
        <w:rPr>
          <w:b/>
        </w:rPr>
        <w:t xml:space="preserve">Regulatory: </w:t>
      </w:r>
      <w:r>
        <w:t>No specific SEBI actions (enforcement, settlement, insider trading, disclosure failures) or RBI issues (licence, regulatory directions, penalties) are reported against Infosys Limited in the provided intelligence. The RBI intelligence pertains to broader regulatory changes impacting lending and external commercial borrowings, not specific issues with Infosys.</w:t>
      </w:r>
    </w:p>
    <w:p/>
    <w:p>
      <w:r>
        <w:rPr>
          <w:b/>
        </w:rPr>
        <w:t xml:space="preserve">MCA Signals: </w:t>
      </w:r>
      <w:r>
        <w:t>The MCA intelligence provides information on directorships held by individuals associated with Infosys in other companies (e.g., SOROCO INDIA, CAPGEMINI INDIA, HOME FIRST FINANCE). However, there is no indication of any director disqualification specifically for Infosys's directors, ROC filing defaults by Infosys, or pending charge satisfaction issues for Infosys Limited.</w:t>
      </w:r>
    </w:p>
    <w:p/>
    <w:p>
      <w:r>
        <w:rPr>
          <w:b/>
        </w:rPr>
        <w:t xml:space="preserve">Overall Research Rating: </w:t>
      </w:r>
      <w:r>
        <w:t>A — Proceed</w:t>
      </w:r>
    </w:p>
    <w:p>
      <w:r>
        <w:rPr>
          <w:b/>
        </w:rPr>
        <w:t xml:space="preserve">Top Risks Identified: </w:t>
      </w:r>
      <w:r>
        <w:t>Limited visibility into comprehensive financial performance (PAT, EBITDA, D/E, etc.) for a holistic assessment.; Reliance on publicly available news, which may not capture all granular operational risks.</w:t>
      </w:r>
    </w:p>
    <w:p/>
    <w:p>
      <w:pPr>
        <w:jc w:val="left"/>
      </w:pPr>
      <w:r>
        <w:rPr>
          <w:b/>
          <w:color w:val="1B3A6B"/>
          <w:sz w:val="24"/>
          <w:u w:val="single"/>
        </w:rPr>
        <w:t>CROSS-DOCUMENT FRAUD INTELLIGENCE</w:t>
      </w:r>
    </w:p>
    <w:p/>
    <w:p>
      <w:r>
        <w:t>Cross-reference skipped: uploaded 1 file(s), but comparable sources were not available after classification (detected: annual_report). Upload any pair among annual report, GST filing, ITR filing, or bank statement.</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C0392B"/>
          </w:tcPr>
          <w:p>
            <w:pPr>
              <w:jc w:val="center"/>
            </w:pPr>
            <w:r>
              <w:rPr>
                <w:b/>
                <w:color w:val="FFFFFF"/>
                <w:sz w:val="28"/>
              </w:rPr>
              <w:t>RECOMMENDATION: N/A</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N/A</w:t>
            </w:r>
          </w:p>
        </w:tc>
      </w:tr>
      <w:tr>
        <w:tc>
          <w:tcPr>
            <w:tcW w:type="dxa" w:w="4986"/>
            <w:shd w:val="clear" w:color="auto" w:fill="E8F0FA"/>
          </w:tcPr>
          <w:p>
            <w:r>
              <w:rPr>
                <w:b/>
              </w:rPr>
              <w:t>Credit Rating</w:t>
            </w:r>
          </w:p>
        </w:tc>
        <w:tc>
          <w:tcPr>
            <w:tcW w:type="dxa" w:w="4986"/>
          </w:tcPr>
          <w:p>
            <w:r>
              <w:t>N/A</w:t>
            </w:r>
          </w:p>
        </w:tc>
      </w:tr>
      <w:tr>
        <w:tc>
          <w:tcPr>
            <w:tcW w:type="dxa" w:w="4986"/>
            <w:shd w:val="clear" w:color="auto" w:fill="E8F0FA"/>
          </w:tcPr>
          <w:p>
            <w:r>
              <w:rPr>
                <w:b/>
              </w:rPr>
              <w:t>Credit Score</w:t>
            </w:r>
          </w:p>
        </w:tc>
        <w:tc>
          <w:tcPr>
            <w:tcW w:type="dxa" w:w="4986"/>
          </w:tcPr>
          <w:p>
            <w:r>
              <w:t>N/A/100</w:t>
            </w:r>
          </w:p>
        </w:tc>
      </w:tr>
      <w:tr>
        <w:tc>
          <w:tcPr>
            <w:tcW w:type="dxa" w:w="4986"/>
            <w:shd w:val="clear" w:color="auto" w:fill="E8F0FA"/>
          </w:tcPr>
          <w:p>
            <w:r>
              <w:rPr>
                <w:b/>
              </w:rPr>
              <w:t>Recommended Amount</w:t>
            </w:r>
          </w:p>
        </w:tc>
        <w:tc>
          <w:tcPr>
            <w:tcW w:type="dxa" w:w="4986"/>
          </w:tcPr>
          <w:p>
            <w:r>
              <w:t>₹N/A Cr</w:t>
            </w:r>
          </w:p>
        </w:tc>
      </w:tr>
      <w:tr>
        <w:tc>
          <w:tcPr>
            <w:tcW w:type="dxa" w:w="4986"/>
            <w:shd w:val="clear" w:color="auto" w:fill="E8F0FA"/>
          </w:tcPr>
          <w:p>
            <w:r>
              <w:rPr>
                <w:b/>
              </w:rPr>
              <w:t>Interest Rate</w:t>
            </w:r>
          </w:p>
        </w:tc>
        <w:tc>
          <w:tcPr>
            <w:tcW w:type="dxa" w:w="4986"/>
          </w:tcPr>
          <w:p>
            <w:r>
              <w:t>N/A%</w:t>
            </w:r>
          </w:p>
        </w:tc>
      </w:tr>
      <w:tr>
        <w:tc>
          <w:tcPr>
            <w:tcW w:type="dxa" w:w="4986"/>
            <w:shd w:val="clear" w:color="auto" w:fill="E8F0FA"/>
          </w:tcPr>
          <w:p>
            <w:r>
              <w:rPr>
                <w:b/>
              </w:rPr>
              <w:t>Tenure</w:t>
            </w:r>
          </w:p>
        </w:tc>
        <w:tc>
          <w:tcPr>
            <w:tcW w:type="dxa" w:w="4986"/>
          </w:tcPr>
          <w:p>
            <w:r>
              <w:t>N/A months</w:t>
            </w:r>
          </w:p>
        </w:tc>
      </w:tr>
    </w:tbl>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09 Mar 2026 18:37</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