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Infosys  Limited</w:t>
            </w:r>
          </w:p>
        </w:tc>
        <w:tc>
          <w:tcPr>
            <w:tcW w:type="dxa" w:w="3324"/>
            <w:shd w:val="clear" w:color="auto" w:fill="1B3A6B"/>
          </w:tcPr>
          <w:p>
            <w:pPr>
              <w:jc w:val="center"/>
            </w:pPr>
            <w:r>
              <w:rPr>
                <w:b/>
                <w:color w:val="1E8449"/>
                <w:sz w:val="26"/>
              </w:rPr>
              <w:t>APPROVE</w:t>
              <w:br/>
            </w:r>
            <w:r>
              <w:rPr>
                <w:b/>
                <w:color w:val="FFFFFF"/>
                <w:sz w:val="22"/>
              </w:rPr>
              <w:t>Rating: AAA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91.71/100</w:t>
            </w:r>
          </w:p>
        </w:tc>
        <w:tc>
          <w:tcPr>
            <w:tcW w:type="dxa" w:w="1994"/>
            <w:shd w:val="clear" w:color="auto" w:fill="E8F0FA"/>
          </w:tcPr>
          <w:p>
            <w:pPr>
              <w:jc w:val="center"/>
            </w:pPr>
            <w:r>
              <w:rPr>
                <w:b/>
              </w:rPr>
              <w:t>AAA</w:t>
            </w:r>
          </w:p>
        </w:tc>
        <w:tc>
          <w:tcPr>
            <w:tcW w:type="dxa" w:w="1994"/>
            <w:shd w:val="clear" w:color="auto" w:fill="E8F0FA"/>
          </w:tcPr>
          <w:p>
            <w:pPr>
              <w:jc w:val="center"/>
            </w:pPr>
            <w:r>
              <w:rPr>
                <w:b/>
              </w:rPr>
              <w:t>APPROVE</w:t>
            </w:r>
          </w:p>
        </w:tc>
        <w:tc>
          <w:tcPr>
            <w:tcW w:type="dxa" w:w="1994"/>
            <w:shd w:val="clear" w:color="auto" w:fill="E8F0FA"/>
          </w:tcPr>
          <w:p>
            <w:pPr>
              <w:jc w:val="center"/>
            </w:pPr>
            <w:r>
              <w:rPr>
                <w:b/>
              </w:rPr>
              <w:t>₹2000 Cr</w:t>
            </w:r>
          </w:p>
        </w:tc>
        <w:tc>
          <w:tcPr>
            <w:tcW w:type="dxa" w:w="1994"/>
            <w:shd w:val="clear" w:color="auto" w:fill="E8F0FA"/>
          </w:tcPr>
          <w:p>
            <w:pPr>
              <w:jc w:val="center"/>
            </w:pPr>
            <w:r>
              <w:rPr>
                <w:b/>
              </w:rPr>
              <w:t>11.0%</w:t>
            </w:r>
          </w:p>
        </w:tc>
      </w:tr>
    </w:tbl>
    <w:p/>
    <w:p>
      <w:r>
        <w:rPr>
          <w:b/>
        </w:rPr>
        <w:t xml:space="preserve">Decision Rationale: </w:t>
      </w:r>
      <w:r>
        <w:t>Blended score 91.71/100 with rating AAA. Five-Cs weighted score after penalties: 91.8. Entity type assessed as corporate. Recommendation is APPROVE based on calibrated thresholds and policy floors.</w:t>
      </w:r>
    </w:p>
    <w:p/>
    <w:p>
      <w:r>
        <w:rPr>
          <w:b/>
        </w:rPr>
        <w:t xml:space="preserve">Date of Appraisal: </w:t>
      </w:r>
      <w:r>
        <w:t>09 March 2026</w:t>
      </w:r>
      <w:r>
        <w:rPr>
          <w:b/>
        </w:rPr>
        <w:t xml:space="preserve">   |   Loan Purpose: </w:t>
      </w:r>
      <w:r>
        <w:t>Working Capital Expansion</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N Chandrasekaran</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Market capitalisation was provided as 29 $ billion for FY25; an INR crore equivalent was not explicitly stated in the context of market capitalization, thus not extracted. The report mentions 'leading to the group becoming debt free this year', but no explicit numerical value for total borrowings was provided. R&amp;D spends of 33,569 crore were noted for FY25 but not extracted as there is no specific field for it.</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₹439,695 Cr</w:t>
            </w:r>
          </w:p>
        </w:tc>
      </w:tr>
      <w:tr>
        <w:tc>
          <w:tcPr>
            <w:tcW w:type="dxa" w:w="4986"/>
            <w:shd w:val="clear" w:color="auto" w:fill="F5F5F5"/>
          </w:tcPr>
          <w:p>
            <w:r>
              <w:t>Revenue Growth</w:t>
            </w:r>
          </w:p>
        </w:tc>
        <w:tc>
          <w:tcPr>
            <w:tcW w:type="dxa" w:w="4986"/>
            <w:shd w:val="clear" w:color="auto" w:fill="F5F5F5"/>
          </w:tcPr>
          <w:p>
            <w:r>
              <w:t>N/A</w:t>
            </w:r>
          </w:p>
        </w:tc>
      </w:tr>
      <w:tr>
        <w:tc>
          <w:tcPr>
            <w:tcW w:type="dxa" w:w="4986"/>
          </w:tcPr>
          <w:p>
            <w:r>
              <w:t>Profit After Tax</w:t>
            </w:r>
          </w:p>
        </w:tc>
        <w:tc>
          <w:tcPr>
            <w:tcW w:type="dxa" w:w="4986"/>
          </w:tcPr>
          <w:p>
            <w:r>
              <w:t>₹28,149 Cr</w:t>
            </w:r>
          </w:p>
        </w:tc>
      </w:tr>
      <w:tr>
        <w:tc>
          <w:tcPr>
            <w:tcW w:type="dxa" w:w="4986"/>
            <w:shd w:val="clear" w:color="auto" w:fill="F5F5F5"/>
          </w:tcPr>
          <w:p>
            <w:r>
              <w:t>EBITDA</w:t>
            </w:r>
          </w:p>
        </w:tc>
        <w:tc>
          <w:tcPr>
            <w:tcW w:type="dxa" w:w="4986"/>
            <w:shd w:val="clear" w:color="auto" w:fill="F5F5F5"/>
          </w:tcPr>
          <w:p>
            <w:r>
              <w:t>₹57,649 Cr</w:t>
            </w:r>
          </w:p>
        </w:tc>
      </w:tr>
      <w:tr>
        <w:tc>
          <w:tcPr>
            <w:tcW w:type="dxa" w:w="4986"/>
          </w:tcPr>
          <w:p>
            <w:r>
              <w:t>EBITDA Margin</w:t>
            </w:r>
          </w:p>
        </w:tc>
        <w:tc>
          <w:tcPr>
            <w:tcW w:type="dxa" w:w="4986"/>
          </w:tcPr>
          <w:p>
            <w:r>
              <w:t>13.1%</w:t>
            </w:r>
          </w:p>
        </w:tc>
      </w:tr>
      <w:tr>
        <w:tc>
          <w:tcPr>
            <w:tcW w:type="dxa" w:w="4986"/>
            <w:shd w:val="clear" w:color="auto" w:fill="F5F5F5"/>
          </w:tcPr>
          <w:p>
            <w:r>
              <w:t>Total Assets</w:t>
            </w:r>
          </w:p>
        </w:tc>
        <w:tc>
          <w:tcPr>
            <w:tcW w:type="dxa" w:w="4986"/>
            <w:shd w:val="clear" w:color="auto" w:fill="F5F5F5"/>
          </w:tcPr>
          <w:p>
            <w:r>
              <w:t>₹378,642 Cr</w:t>
            </w:r>
          </w:p>
        </w:tc>
      </w:tr>
      <w:tr>
        <w:tc>
          <w:tcPr>
            <w:tcW w:type="dxa" w:w="4986"/>
          </w:tcPr>
          <w:p>
            <w:r>
              <w:t>Net Worth</w:t>
            </w:r>
          </w:p>
        </w:tc>
        <w:tc>
          <w:tcPr>
            <w:tcW w:type="dxa" w:w="4986"/>
          </w:tcPr>
          <w:p>
            <w:r>
              <w:t>N/A</w:t>
            </w:r>
          </w:p>
        </w:tc>
      </w:tr>
      <w:tr>
        <w:tc>
          <w:tcPr>
            <w:tcW w:type="dxa" w:w="4986"/>
            <w:shd w:val="clear" w:color="auto" w:fill="F5F5F5"/>
          </w:tcPr>
          <w:p>
            <w:r>
              <w:t>Total Borrowings</w:t>
            </w:r>
          </w:p>
        </w:tc>
        <w:tc>
          <w:tcPr>
            <w:tcW w:type="dxa" w:w="4986"/>
            <w:shd w:val="clear" w:color="auto" w:fill="F5F5F5"/>
          </w:tcPr>
          <w:p>
            <w:r>
              <w:t>N/A</w:t>
            </w:r>
          </w:p>
        </w:tc>
      </w:tr>
      <w:tr>
        <w:tc>
          <w:tcPr>
            <w:tcW w:type="dxa" w:w="4986"/>
          </w:tcPr>
          <w:p>
            <w:r>
              <w:t>Debt / Equity</w:t>
            </w:r>
          </w:p>
        </w:tc>
        <w:tc>
          <w:tcPr>
            <w:tcW w:type="dxa" w:w="4986"/>
          </w:tcPr>
          <w:p>
            <w:r>
              <w:t>N/A</w:t>
            </w:r>
          </w:p>
        </w:tc>
      </w:tr>
      <w:tr>
        <w:tc>
          <w:tcPr>
            <w:tcW w:type="dxa" w:w="4986"/>
            <w:shd w:val="clear" w:color="auto" w:fill="F5F5F5"/>
          </w:tcPr>
          <w:p>
            <w:r>
              <w:t>Current Ratio</w:t>
            </w:r>
          </w:p>
        </w:tc>
        <w:tc>
          <w:tcPr>
            <w:tcW w:type="dxa" w:w="4986"/>
            <w:shd w:val="clear" w:color="auto" w:fill="F5F5F5"/>
          </w:tcPr>
          <w:p>
            <w:r>
              <w:t>N/A</w:t>
            </w:r>
          </w:p>
        </w:tc>
      </w:tr>
      <w:tr>
        <w:tc>
          <w:tcPr>
            <w:tcW w:type="dxa" w:w="4986"/>
          </w:tcPr>
          <w:p>
            <w:r>
              <w:t>Interest Coverage</w:t>
            </w:r>
          </w:p>
        </w:tc>
        <w:tc>
          <w:tcPr>
            <w:tcW w:type="dxa" w:w="4986"/>
          </w:tcPr>
          <w:p>
            <w:r>
              <w:t>N/A</w:t>
            </w:r>
          </w:p>
        </w:tc>
      </w:tr>
      <w:tr>
        <w:tc>
          <w:tcPr>
            <w:tcW w:type="dxa" w:w="4986"/>
            <w:shd w:val="clear" w:color="auto" w:fill="F5F5F5"/>
          </w:tcPr>
          <w:p>
            <w:r>
              <w:t>Return on Equity</w:t>
            </w:r>
          </w:p>
        </w:tc>
        <w:tc>
          <w:tcPr>
            <w:tcW w:type="dxa" w:w="4986"/>
            <w:shd w:val="clear" w:color="auto" w:fill="F5F5F5"/>
          </w:tcPr>
          <w:p>
            <w:r>
              <w:t>N/A</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92</w:t>
            </w:r>
          </w:p>
        </w:tc>
        <w:tc>
          <w:tcPr>
            <w:tcW w:type="dxa" w:w="2493"/>
          </w:tcPr>
          <w:p>
            <w:r>
              <w:t>25%</w:t>
            </w:r>
          </w:p>
        </w:tc>
        <w:tc>
          <w:tcPr>
            <w:tcW w:type="dxa" w:w="2493"/>
          </w:tcPr>
          <w:p>
            <w:r>
              <w:t>Promoter background indicates 'Good' reputation with no criminal cases, wilful defaulter status, or SFIO investigations. MCA signals show 'Low' risk with no director disqualifications or filing defaults. Red flags are all false, demonstrating strong governance and ethical standing. The low promoter holding (14.5%) is typical for a mature, professionally managed IT company and does not indicate a credit risk.</w:t>
            </w:r>
          </w:p>
        </w:tc>
      </w:tr>
      <w:tr>
        <w:tc>
          <w:tcPr>
            <w:tcW w:type="dxa" w:w="2493"/>
            <w:shd w:val="clear" w:color="auto" w:fill="E8F0FA"/>
          </w:tcPr>
          <w:p>
            <w:r>
              <w:rPr>
                <w:b/>
              </w:rPr>
              <w:t>💰 Capacity</w:t>
            </w:r>
          </w:p>
        </w:tc>
        <w:tc>
          <w:tcPr>
            <w:tcW w:type="dxa" w:w="2493"/>
            <w:shd w:val="clear" w:color="auto" w:fill="E8F0FA"/>
          </w:tcPr>
          <w:p>
            <w:r>
              <w:t>95</w:t>
            </w:r>
          </w:p>
        </w:tc>
        <w:tc>
          <w:tcPr>
            <w:tcW w:type="dxa" w:w="2493"/>
            <w:shd w:val="clear" w:color="auto" w:fill="E8F0FA"/>
          </w:tcPr>
          <w:p>
            <w:r>
              <w:t>30%</w:t>
            </w:r>
          </w:p>
        </w:tc>
        <w:tc>
          <w:tcPr>
            <w:tcW w:type="dxa" w:w="2493"/>
            <w:shd w:val="clear" w:color="auto" w:fill="E8F0FA"/>
          </w:tcPr>
          <w:p>
            <w:r>
              <w:t>Infosys demonstrates excellent capacity with revenues of ₹1,62,990 crore for FY2025, showing 6.1% Y-o-Y growth. The operating margin is very healthy at 21.1%. Furthermore, the company holds substantial consolidated cash and investments of ₹47,549 crore, indicating strong liquidity and robust debt servicing capability, well exceeding the implied EBITDA margin floor of 13.1%.</w:t>
            </w:r>
          </w:p>
        </w:tc>
      </w:tr>
      <w:tr>
        <w:tc>
          <w:tcPr>
            <w:tcW w:type="dxa" w:w="2493"/>
          </w:tcPr>
          <w:p>
            <w:r>
              <w:rPr>
                <w:b/>
              </w:rPr>
              <w:t>🏛️ Capital</w:t>
            </w:r>
          </w:p>
        </w:tc>
        <w:tc>
          <w:tcPr>
            <w:tcW w:type="dxa" w:w="2493"/>
          </w:tcPr>
          <w:p>
            <w:r>
              <w:t>98</w:t>
            </w:r>
          </w:p>
        </w:tc>
        <w:tc>
          <w:tcPr>
            <w:tcW w:type="dxa" w:w="2493"/>
          </w:tcPr>
          <w:p>
            <w:r>
              <w:t>20%</w:t>
            </w:r>
          </w:p>
        </w:tc>
        <w:tc>
          <w:tcPr>
            <w:tcW w:type="dxa" w:w="2493"/>
          </w:tcPr>
          <w:p>
            <w:r>
              <w:t>The company's financial health is exceptional with the group reportedly becoming 'debt free' this year, as noted in the extraction notes. This indicates a robust and conservative capital structure with no or minimal leverage. This is further bolstered by consolidated cash and investments of ₹47,549 crore, affirming a very strong capital position.</w:t>
            </w:r>
          </w:p>
        </w:tc>
      </w:tr>
      <w:tr>
        <w:tc>
          <w:tcPr>
            <w:tcW w:type="dxa" w:w="2493"/>
            <w:shd w:val="clear" w:color="auto" w:fill="E8F0FA"/>
          </w:tcPr>
          <w:p>
            <w:r>
              <w:rPr>
                <w:b/>
              </w:rPr>
              <w:t>🔒 Collateral</w:t>
            </w:r>
          </w:p>
        </w:tc>
        <w:tc>
          <w:tcPr>
            <w:tcW w:type="dxa" w:w="2493"/>
            <w:shd w:val="clear" w:color="auto" w:fill="E8F0FA"/>
          </w:tcPr>
          <w:p>
            <w:r>
              <w:t>88</w:t>
            </w:r>
          </w:p>
        </w:tc>
        <w:tc>
          <w:tcPr>
            <w:tcW w:type="dxa" w:w="2493"/>
            <w:shd w:val="clear" w:color="auto" w:fill="E8F0FA"/>
          </w:tcPr>
          <w:p>
            <w:r>
              <w:t>15%</w:t>
            </w:r>
          </w:p>
        </w:tc>
        <w:tc>
          <w:tcPr>
            <w:tcW w:type="dxa" w:w="2493"/>
            <w:shd w:val="clear" w:color="auto" w:fill="E8F0FA"/>
          </w:tcPr>
          <w:p>
            <w:r>
              <w:t>As a large, established IT services firm with revenues of ₹1,62,990 crore, Infosys possesses a significant and diversified asset base, encompassing intellectual property, substantial real estate, and other operational assets. The 'debt free' status implies that these assets are largely unencumbered, providing substantial intrinsic collateral value. The strong cash and investments of ₹47,549 crore also represent significant liquid collateral.</w:t>
            </w:r>
          </w:p>
        </w:tc>
      </w:tr>
      <w:tr>
        <w:tc>
          <w:tcPr>
            <w:tcW w:type="dxa" w:w="2493"/>
          </w:tcPr>
          <w:p>
            <w:r>
              <w:rPr>
                <w:b/>
              </w:rPr>
              <w:t>🌍 Conditions</w:t>
            </w:r>
          </w:p>
        </w:tc>
        <w:tc>
          <w:tcPr>
            <w:tcW w:type="dxa" w:w="2493"/>
          </w:tcPr>
          <w:p>
            <w:r>
              <w:t>75</w:t>
            </w:r>
          </w:p>
        </w:tc>
        <w:tc>
          <w:tcPr>
            <w:tcW w:type="dxa" w:w="2493"/>
          </w:tcPr>
          <w:p>
            <w:r>
              <w:t>10%</w:t>
            </w:r>
          </w:p>
        </w:tc>
        <w:tc>
          <w:tcPr>
            <w:tcW w:type="dxa" w:w="2493"/>
          </w:tcPr>
          <w:p>
            <w:r>
              <w:t>The Indian IT services sector, while experiencing some global tech spending headwinds, remains fundamentally strong, particularly for market leaders like Infosys. The broader Indian macro-economic conditions are stable and supportive, and no adverse RBI regulations or other specific conditions impacting the company's creditworthiness have been identified.</w:t>
            </w:r>
          </w:p>
        </w:tc>
      </w:tr>
    </w:tbl>
    <w:p/>
    <w:p>
      <w:r>
        <w:rPr>
          <w:b/>
        </w:rPr>
        <w:t xml:space="preserve">Weighted Score: </w:t>
      </w:r>
      <w:r>
        <w:t>91.8/100</w:t>
      </w:r>
      <w:r>
        <w:t xml:space="preserve">   |   </w:t>
      </w:r>
      <w:r>
        <w:rPr>
          <w:b/>
        </w:rPr>
        <w:t xml:space="preserve">Penalty Applied: </w:t>
      </w:r>
      <w:r>
        <w:t>0 points</w:t>
      </w:r>
      <w:r>
        <w:t xml:space="preserve">   |   </w:t>
      </w:r>
      <w:r>
        <w:rPr>
          <w:b/>
        </w:rPr>
        <w:t xml:space="preserve">Final Score: </w:t>
      </w:r>
      <w:r>
        <w:t>91.8/100</w:t>
      </w:r>
    </w:p>
    <w:p/>
    <w:p>
      <w:pPr>
        <w:jc w:val="left"/>
      </w:pPr>
      <w:r>
        <w:rPr>
          <w:b/>
          <w:color w:val="1B3A6B"/>
          <w:sz w:val="24"/>
          <w:u w:val="single"/>
        </w:rPr>
        <w:t>SECONDARY RESEARCH INTELLIGENCE</w:t>
      </w:r>
    </w:p>
    <w:p/>
    <w:p>
      <w:r>
        <w:rPr>
          <w:b/>
        </w:rPr>
        <w:t xml:space="preserve">Company News: </w:t>
      </w:r>
      <w:r>
        <w:t>Infosys Limited reported strong revenue growth and healthy operating margins for FY2025, coupled with substantial cash reserves, indicating robust operational and financial health. However, a significant decline in market capitalization over the past year suggests investor concerns, and promoter holding is noted as relatively low.</w:t>
      </w:r>
    </w:p>
    <w:p/>
    <w:p>
      <w:r>
        <w:rPr>
          <w:b/>
        </w:rPr>
        <w:t xml:space="preserve">Promoter Background: </w:t>
      </w:r>
      <w:r>
        <w:t>The intelligence provided does not indicate any wilful defaulter status, SFIO investigations, or criminal cases against Infosys Limited or its named promoter, N. Chandrasekharan. The IIFCL document mentions 'Infosys Limited' as a 'Body Corporate' in a list, followed by a general discussion of 'wilful defaulters' in a fragmented sentence, but does not state Infosys or its promoter is a wilful defaulter. The low promoter holding of 14.5% is noted from Screener data.</w:t>
      </w:r>
    </w:p>
    <w:p/>
    <w:p>
      <w:r>
        <w:rPr>
          <w:b/>
        </w:rPr>
        <w:t xml:space="preserve">Sector Headwinds: </w:t>
      </w:r>
      <w:r>
        <w:t>The company's sector is listed as 'Manufacturing' as per the prompt. General regulatory developments from the RBI indicate a supportive lending environment with relaxed norms and proposed liberalisation of ECBs, which could be considered tailwinds for the credit market. No specific sector-specific restrictions or headwinds for the manufacturing sector have been identified from the provided intelligence.</w:t>
      </w:r>
    </w:p>
    <w:p/>
    <w:p>
      <w:r>
        <w:rPr>
          <w:b/>
        </w:rPr>
        <w:t xml:space="preserve">Litigation: </w:t>
      </w:r>
      <w:r>
        <w:t>While NCLT proceedings under IBC are mentioned in the intelligence, the provided text does not explicitly name Infosys Limited as either the Corporate Debtor or the Operational Creditor in the cited 'CP (IB) No. 624/MB/2022' case. Therefore, based purely on the given intelligence, there are no specific NCLT or e-Courts cases identified as involving Infosys Limited directly as a party.</w:t>
      </w:r>
    </w:p>
    <w:p/>
    <w:p>
      <w:r>
        <w:rPr>
          <w:b/>
        </w:rPr>
        <w:t xml:space="preserve">Regulatory: </w:t>
      </w:r>
      <w:r>
        <w:t>There is no intelligence indicating any enforcement orders, settlement orders, insider trading, or disclosure failures from SEBI for Infosys. Similarly, no RBI issues, license problems, or penalties specific to Infosys are mentioned. General RBI regulatory changes regarding lending norms and external commercial borrowings (ECBs) are noted but do not point to any specific risks for Infosys.</w:t>
      </w:r>
    </w:p>
    <w:p/>
    <w:p>
      <w:r>
        <w:rPr>
          <w:b/>
        </w:rPr>
        <w:t xml:space="preserve">MCA Signals: </w:t>
      </w:r>
      <w:r>
        <w:t>The provided MCA filings information discusses directorships of an individual associated with Infosys in other entities (Soroco India, Capgemini India, Home First Finance, Tata Asset Management, Vubites India). There is no specific intelligence indicating director disqualification for any Infosys director, ROC filing defaults by Infosys, or pending charge satisfactions for the company itself.</w:t>
      </w:r>
    </w:p>
    <w:p/>
    <w:p>
      <w:r>
        <w:rPr>
          <w:b/>
        </w:rPr>
        <w:t xml:space="preserve">Overall Research Rating: </w:t>
      </w:r>
      <w:r>
        <w:t>A — Strong Proceed</w:t>
      </w:r>
    </w:p>
    <w:p>
      <w:r>
        <w:rPr>
          <w:b/>
        </w:rPr>
        <w:t xml:space="preserve">Top Risks Identified: </w:t>
      </w:r>
      <w:r>
        <w:t>Decline in Market Capitalization: A 22.4% drop in market cap over one year indicates potential concerns from equity investors, though the company's operational performance remains strong.; Promoter Holding: The relatively low promoter holding of 14.5% could be seen as a minor governance flag by some investors, though typical for widely held IT companies.</w:t>
      </w:r>
    </w:p>
    <w:p/>
    <w:p>
      <w:pPr>
        <w:jc w:val="left"/>
      </w:pPr>
      <w:r>
        <w:rPr>
          <w:b/>
          <w:color w:val="1B3A6B"/>
          <w:sz w:val="24"/>
          <w:u w:val="single"/>
        </w:rPr>
        <w:t>CROSS-DOCUMENT FRAUD INTELLIGENCE</w:t>
      </w:r>
    </w:p>
    <w:p/>
    <w:p>
      <w:r>
        <w:t>Cross-reference skipped: uploaded 1 file(s), but comparable sources were not available after classification (detected: annual_report). Upload any pair among annual report, GST filing, ITR filing, or bank statement.</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AAA</w:t>
            </w:r>
          </w:p>
        </w:tc>
      </w:tr>
      <w:tr>
        <w:tc>
          <w:tcPr>
            <w:tcW w:type="dxa" w:w="4986"/>
            <w:shd w:val="clear" w:color="auto" w:fill="E8F0FA"/>
          </w:tcPr>
          <w:p>
            <w:r>
              <w:rPr>
                <w:b/>
              </w:rPr>
              <w:t>Credit Score</w:t>
            </w:r>
          </w:p>
        </w:tc>
        <w:tc>
          <w:tcPr>
            <w:tcW w:type="dxa" w:w="4986"/>
          </w:tcPr>
          <w:p>
            <w:r>
              <w:t>91.71/100</w:t>
            </w:r>
          </w:p>
        </w:tc>
      </w:tr>
      <w:tr>
        <w:tc>
          <w:tcPr>
            <w:tcW w:type="dxa" w:w="4986"/>
            <w:shd w:val="clear" w:color="auto" w:fill="E8F0FA"/>
          </w:tcPr>
          <w:p>
            <w:r>
              <w:rPr>
                <w:b/>
              </w:rPr>
              <w:t>Recommended Amount</w:t>
            </w:r>
          </w:p>
        </w:tc>
        <w:tc>
          <w:tcPr>
            <w:tcW w:type="dxa" w:w="4986"/>
          </w:tcPr>
          <w:p>
            <w:r>
              <w:t>₹2000 Cr</w:t>
            </w:r>
          </w:p>
        </w:tc>
      </w:tr>
      <w:tr>
        <w:tc>
          <w:tcPr>
            <w:tcW w:type="dxa" w:w="4986"/>
            <w:shd w:val="clear" w:color="auto" w:fill="E8F0FA"/>
          </w:tcPr>
          <w:p>
            <w:r>
              <w:rPr>
                <w:b/>
              </w:rPr>
              <w:t>Interest Rate</w:t>
            </w:r>
          </w:p>
        </w:tc>
        <w:tc>
          <w:tcPr>
            <w:tcW w:type="dxa" w:w="4986"/>
          </w:tcPr>
          <w:p>
            <w:r>
              <w:t>11.0%</w:t>
            </w:r>
          </w:p>
        </w:tc>
      </w:tr>
      <w:tr>
        <w:tc>
          <w:tcPr>
            <w:tcW w:type="dxa" w:w="4986"/>
            <w:shd w:val="clear" w:color="auto" w:fill="E8F0FA"/>
          </w:tcPr>
          <w:p>
            <w:r>
              <w:rPr>
                <w:b/>
              </w:rPr>
              <w:t>Tenure</w:t>
            </w:r>
          </w:p>
        </w:tc>
        <w:tc>
          <w:tcPr>
            <w:tcW w:type="dxa" w:w="4986"/>
          </w:tcPr>
          <w:p>
            <w:r>
              <w:t>12 months</w:t>
            </w:r>
          </w:p>
        </w:tc>
      </w:tr>
    </w:tbl>
    <w:p/>
    <w:p>
      <w:r>
        <w:rPr>
          <w:b/>
        </w:rPr>
        <w:t xml:space="preserve">Rationale: </w:t>
      </w:r>
      <w:r>
        <w:t>Blended score 91.71/100 with rating AAA. Five-Cs weighted score after penalties: 91.8. Entity type assessed as corporate. Recommendation is APPROVE based on calibrated thresholds and policy floors.</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09 Mar 2026 18:45</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