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NOVA RETAILMART</w:t>
            </w:r>
          </w:p>
        </w:tc>
        <w:tc>
          <w:tcPr>
            <w:tcW w:type="dxa" w:w="3324"/>
            <w:shd w:val="clear" w:color="auto" w:fill="1B3A6B"/>
          </w:tcPr>
          <w:p>
            <w:pPr>
              <w:jc w:val="center"/>
            </w:pPr>
            <w:r>
              <w:rPr>
                <w:b/>
                <w:color w:val="D68910"/>
                <w:sz w:val="26"/>
              </w:rPr>
              <w:t>CONDITIONAL_APPROVE</w:t>
              <w:br/>
            </w:r>
            <w:r>
              <w:rPr>
                <w:b/>
                <w:color w:val="FFFFFF"/>
                <w:sz w:val="22"/>
              </w:rPr>
              <w:t>Rating: 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57.16/100</w:t>
            </w:r>
          </w:p>
        </w:tc>
        <w:tc>
          <w:tcPr>
            <w:tcW w:type="dxa" w:w="1994"/>
            <w:shd w:val="clear" w:color="auto" w:fill="E8F0FA"/>
          </w:tcPr>
          <w:p>
            <w:pPr>
              <w:jc w:val="center"/>
            </w:pPr>
            <w:r>
              <w:rPr>
                <w:b/>
              </w:rPr>
              <w:t>B</w:t>
            </w:r>
          </w:p>
        </w:tc>
        <w:tc>
          <w:tcPr>
            <w:tcW w:type="dxa" w:w="1994"/>
            <w:shd w:val="clear" w:color="auto" w:fill="E8F0FA"/>
          </w:tcPr>
          <w:p>
            <w:pPr>
              <w:jc w:val="center"/>
            </w:pPr>
            <w:r>
              <w:rPr>
                <w:b/>
              </w:rPr>
              <w:t>CONDITIONAL_APPROVE</w:t>
            </w:r>
          </w:p>
        </w:tc>
        <w:tc>
          <w:tcPr>
            <w:tcW w:type="dxa" w:w="1994"/>
            <w:shd w:val="clear" w:color="auto" w:fill="E8F0FA"/>
          </w:tcPr>
          <w:p>
            <w:pPr>
              <w:jc w:val="center"/>
            </w:pPr>
            <w:r>
              <w:rPr>
                <w:b/>
              </w:rPr>
              <w:t>₹10 Cr</w:t>
            </w:r>
          </w:p>
        </w:tc>
        <w:tc>
          <w:tcPr>
            <w:tcW w:type="dxa" w:w="1994"/>
            <w:shd w:val="clear" w:color="auto" w:fill="E8F0FA"/>
          </w:tcPr>
          <w:p>
            <w:pPr>
              <w:jc w:val="center"/>
            </w:pPr>
            <w:r>
              <w:rPr>
                <w:b/>
              </w:rPr>
              <w:t>15.5%</w:t>
            </w:r>
          </w:p>
        </w:tc>
      </w:tr>
    </w:tbl>
    <w:p/>
    <w:p>
      <w:r>
        <w:rPr>
          <w:b/>
        </w:rPr>
        <w:t xml:space="preserve">Decision Rationale: </w:t>
      </w:r>
      <w:r>
        <w:t>Blended score 57.16/100 with rating B. Five-Cs weighted score after penalties: 38.3. Entity type assessed as corporate. Recommendation is CONDITIONAL_APPROVE based on calibrated thresholds and policy floors.</w:t>
      </w:r>
    </w:p>
    <w:p/>
    <w:p>
      <w:r>
        <w:rPr>
          <w:b/>
        </w:rPr>
        <w:t xml:space="preserve">Date of Appraisal: </w:t>
      </w:r>
      <w:r>
        <w:t>09 March 2026</w:t>
      </w:r>
      <w:r>
        <w:rPr>
          <w:b/>
        </w:rPr>
        <w:t xml:space="preserve">   |   Loan Purpose: </w:t>
      </w:r>
      <w:r>
        <w:t>Working Capital support</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Nova Retailmart Private Limited</w:t>
            </w:r>
          </w:p>
        </w:tc>
      </w:tr>
      <w:tr>
        <w:tc>
          <w:tcPr>
            <w:tcW w:type="dxa" w:w="4986"/>
            <w:shd w:val="clear" w:color="auto" w:fill="E8F0FA"/>
          </w:tcPr>
          <w:p>
            <w:r>
              <w:rPr>
                <w:b/>
              </w:rPr>
              <w:t>CIN</w:t>
            </w:r>
          </w:p>
        </w:tc>
        <w:tc>
          <w:tcPr>
            <w:tcW w:type="dxa" w:w="4986"/>
          </w:tcPr>
          <w:p>
            <w:r>
              <w:t>Not extracted</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P, ., S, e, t, h, i</w:t>
            </w:r>
          </w:p>
        </w:tc>
      </w:tr>
      <w:tr>
        <w:tc>
          <w:tcPr>
            <w:tcW w:type="dxa" w:w="4986"/>
            <w:shd w:val="clear" w:color="auto" w:fill="E8F0FA"/>
          </w:tcPr>
          <w:p>
            <w:r>
              <w:rPr>
                <w:b/>
              </w:rPr>
              <w:t>Extraction Notes</w:t>
            </w:r>
          </w:p>
        </w:tc>
        <w:tc>
          <w:tcPr>
            <w:tcW w:type="dxa" w:w="4986"/>
          </w:tcPr>
          <w:p>
            <w:r>
              <w: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₹485 Cr</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N/A</w:t>
            </w:r>
          </w:p>
        </w:tc>
      </w:tr>
      <w:tr>
        <w:tc>
          <w:tcPr>
            <w:tcW w:type="dxa" w:w="4986"/>
            <w:shd w:val="clear" w:color="auto" w:fill="F5F5F5"/>
          </w:tcPr>
          <w:p>
            <w:r>
              <w:t>EBITDA</w:t>
            </w:r>
          </w:p>
        </w:tc>
        <w:tc>
          <w:tcPr>
            <w:tcW w:type="dxa" w:w="4986"/>
            <w:shd w:val="clear" w:color="auto" w:fill="F5F5F5"/>
          </w:tcPr>
          <w:p>
            <w:r>
              <w:t>N/A</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N/A</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r>
        <w:rPr>
          <w:b/>
        </w:rPr>
        <w:t xml:space="preserve">⚠ Red Flags Detected: </w:t>
      </w:r>
      <w:r>
        <w:rPr>
          <w:color w:val="C0392B"/>
        </w:rPr>
        <w:t>Itc Mismatch, Show Cause Notice</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50</w:t>
            </w:r>
          </w:p>
        </w:tc>
        <w:tc>
          <w:tcPr>
            <w:tcW w:type="dxa" w:w="2493"/>
          </w:tcPr>
          <w:p>
            <w:r>
              <w:t>25%</w:t>
            </w:r>
          </w:p>
        </w:tc>
        <w:tc>
          <w:tcPr>
            <w:tcW w:type="dxa" w:w="2493"/>
          </w:tcPr>
          <w:p>
            <w:r>
              <w:t>cite data</w:t>
            </w:r>
          </w:p>
        </w:tc>
      </w:tr>
      <w:tr>
        <w:tc>
          <w:tcPr>
            <w:tcW w:type="dxa" w:w="2493"/>
            <w:shd w:val="clear" w:color="auto" w:fill="E8F0FA"/>
          </w:tcPr>
          <w:p>
            <w:r>
              <w:rPr>
                <w:b/>
              </w:rPr>
              <w:t>💰 Capacity</w:t>
            </w:r>
          </w:p>
        </w:tc>
        <w:tc>
          <w:tcPr>
            <w:tcW w:type="dxa" w:w="2493"/>
            <w:shd w:val="clear" w:color="auto" w:fill="E8F0FA"/>
          </w:tcPr>
          <w:p>
            <w:r>
              <w:t>40</w:t>
            </w:r>
          </w:p>
        </w:tc>
        <w:tc>
          <w:tcPr>
            <w:tcW w:type="dxa" w:w="2493"/>
            <w:shd w:val="clear" w:color="auto" w:fill="E8F0FA"/>
          </w:tcPr>
          <w:p>
            <w:r>
              <w:t>30%</w:t>
            </w:r>
          </w:p>
        </w:tc>
        <w:tc>
          <w:tcPr>
            <w:tcW w:type="dxa" w:w="2493"/>
            <w:shd w:val="clear" w:color="auto" w:fill="E8F0FA"/>
          </w:tcPr>
          <w:p>
            <w:r>
              <w:t>cite ICR/margin/DSCR</w:t>
            </w:r>
          </w:p>
        </w:tc>
      </w:tr>
      <w:tr>
        <w:tc>
          <w:tcPr>
            <w:tcW w:type="dxa" w:w="2493"/>
          </w:tcPr>
          <w:p>
            <w:r>
              <w:rPr>
                <w:b/>
              </w:rPr>
              <w:t>🏛️ Capital</w:t>
            </w:r>
          </w:p>
        </w:tc>
        <w:tc>
          <w:tcPr>
            <w:tcW w:type="dxa" w:w="2493"/>
          </w:tcPr>
          <w:p>
            <w:r>
              <w:t>40</w:t>
            </w:r>
          </w:p>
        </w:tc>
        <w:tc>
          <w:tcPr>
            <w:tcW w:type="dxa" w:w="2493"/>
          </w:tcPr>
          <w:p>
            <w:r>
              <w:t>20%</w:t>
            </w:r>
          </w:p>
        </w:tc>
        <w:tc>
          <w:tcPr>
            <w:tcW w:type="dxa" w:w="2493"/>
          </w:tcPr>
          <w:p>
            <w:r>
              <w:t>cite D/E or net worth</w:t>
            </w:r>
          </w:p>
        </w:tc>
      </w:tr>
      <w:tr>
        <w:tc>
          <w:tcPr>
            <w:tcW w:type="dxa" w:w="2493"/>
            <w:shd w:val="clear" w:color="auto" w:fill="E8F0FA"/>
          </w:tcPr>
          <w:p>
            <w:r>
              <w:rPr>
                <w:b/>
              </w:rPr>
              <w:t>🔒 Collateral</w:t>
            </w:r>
          </w:p>
        </w:tc>
        <w:tc>
          <w:tcPr>
            <w:tcW w:type="dxa" w:w="2493"/>
            <w:shd w:val="clear" w:color="auto" w:fill="E8F0FA"/>
          </w:tcPr>
          <w:p>
            <w:r>
              <w:t>38</w:t>
            </w:r>
          </w:p>
        </w:tc>
        <w:tc>
          <w:tcPr>
            <w:tcW w:type="dxa" w:w="2493"/>
            <w:shd w:val="clear" w:color="auto" w:fill="E8F0FA"/>
          </w:tcPr>
          <w:p>
            <w:r>
              <w:t>15%</w:t>
            </w:r>
          </w:p>
        </w:tc>
        <w:tc>
          <w:tcPr>
            <w:tcW w:type="dxa" w:w="2493"/>
            <w:shd w:val="clear" w:color="auto" w:fill="E8F0FA"/>
          </w:tcPr>
          <w:p>
            <w:r>
              <w:t>cite assets or charges</w:t>
            </w:r>
          </w:p>
        </w:tc>
      </w:tr>
      <w:tr>
        <w:tc>
          <w:tcPr>
            <w:tcW w:type="dxa" w:w="2493"/>
          </w:tcPr>
          <w:p>
            <w:r>
              <w:rPr>
                <w:b/>
              </w:rPr>
              <w:t>🌍 Conditions</w:t>
            </w:r>
          </w:p>
        </w:tc>
        <w:tc>
          <w:tcPr>
            <w:tcW w:type="dxa" w:w="2493"/>
          </w:tcPr>
          <w:p>
            <w:r>
              <w:t>0</w:t>
            </w:r>
          </w:p>
        </w:tc>
        <w:tc>
          <w:tcPr>
            <w:tcW w:type="dxa" w:w="2493"/>
          </w:tcPr>
          <w:p>
            <w:r>
              <w:t>10%</w:t>
            </w:r>
          </w:p>
        </w:tc>
        <w:tc>
          <w:tcPr>
            <w:tcW w:type="dxa" w:w="2493"/>
          </w:tcPr>
          <w:p>
            <w:r>
              <w:t>cite sector/macro</w:t>
            </w:r>
          </w:p>
        </w:tc>
      </w:tr>
    </w:tbl>
    <w:p/>
    <w:p>
      <w:r>
        <w:rPr>
          <w:b/>
        </w:rPr>
        <w:t xml:space="preserve">Weighted Score: </w:t>
      </w:r>
      <w:r>
        <w:t>38.3/100</w:t>
      </w:r>
      <w:r>
        <w:t xml:space="preserve">   |   </w:t>
      </w:r>
      <w:r>
        <w:rPr>
          <w:b/>
        </w:rPr>
        <w:t xml:space="preserve">Penalty Applied: </w:t>
      </w:r>
      <w:r>
        <w:t>0 points</w:t>
      </w:r>
      <w:r>
        <w:t xml:space="preserve">   |   </w:t>
      </w:r>
      <w:r>
        <w:rPr>
          <w:b/>
        </w:rPr>
        <w:t xml:space="preserve">Final Score: </w:t>
      </w:r>
      <w:r>
        <w:t>38.3/100</w:t>
      </w:r>
    </w:p>
    <w:p/>
    <w:p>
      <w:pPr>
        <w:jc w:val="left"/>
      </w:pPr>
      <w:r>
        <w:rPr>
          <w:b/>
          <w:color w:val="1B3A6B"/>
          <w:sz w:val="24"/>
          <w:u w:val="single"/>
        </w:rPr>
        <w:t>SECONDARY RESEARCH INTELLIGENCE</w:t>
      </w:r>
    </w:p>
    <w:p/>
    <w:p>
      <w:r>
        <w:rPr>
          <w:b/>
        </w:rPr>
        <w:t xml:space="preserve">Company News: </w:t>
      </w:r>
      <w:r>
        <w:t>NOVA RETAILMART shows strong positive momentum, with substantial revenue growth and improved same-store sales in FY2025. ICRA projects continued financial performance improvement.</w:t>
      </w:r>
    </w:p>
    <w:p/>
    <w:p>
      <w:r>
        <w:rPr>
          <w:b/>
        </w:rPr>
        <w:t xml:space="preserve">Promoter Background: </w:t>
      </w:r>
      <w:r>
        <w:t>No specific adverse information was found regarding the promoter P. Sethi, including no mentions of wilful default, criminal cases, or SFIO investigations. General comments on wilful defaulters in news are not linked to P. Sethi.</w:t>
      </w:r>
    </w:p>
    <w:p/>
    <w:p>
      <w:r>
        <w:rPr>
          <w:b/>
        </w:rPr>
        <w:t xml:space="preserve">Sector Headwinds: </w:t>
      </w:r>
      <w:r>
        <w:t>NOVA RETAILMART operates in the retail sector, showing positive company-specific growth signals. While general financial sector regulatory changes (like RBI's ECB framework) are ongoing, no direct sector-specific headwinds or restrictions adversely affecting NOVA RETAILMART are identified. The company's internal performance suggests a stable sector for its operations.</w:t>
      </w:r>
    </w:p>
    <w:p/>
    <w:p>
      <w:r>
        <w:rPr>
          <w:b/>
        </w:rPr>
        <w:t xml:space="preserve">Litigation: </w:t>
      </w:r>
      <w:r>
        <w:t>No legal disputes, NCLT proceedings (including IBC-CIRP), DRT cases, or arbitration cases were found against NOVA RETAILMART. The NCLT references provided relate to other unrelated companies.</w:t>
      </w:r>
    </w:p>
    <w:p/>
    <w:p>
      <w:r>
        <w:rPr>
          <w:b/>
        </w:rPr>
        <w:t xml:space="preserve">Regulatory: </w:t>
      </w:r>
      <w:r>
        <w:t>No specific SEBI actions, RBI issues (licensing, penalties, or directions), or MCA defaults were identified for NOVA RETAILMART. General regulatory updates regarding RBI's proposed ECB framework changes are noted but do not indicate an issue for the company.</w:t>
      </w:r>
    </w:p>
    <w:p/>
    <w:p>
      <w:r>
        <w:rPr>
          <w:b/>
        </w:rPr>
        <w:t xml:space="preserve">MCA Signals: </w:t>
      </w:r>
      <w:r>
        <w:t>No MCA-related red flags such as director disqualification, filing defaults, pending charge satisfactions, or ROC notices were identified for NOVA RETAILMART based on the provided intelligence. The sources merely explain MCA compliance procedures.</w:t>
      </w:r>
    </w:p>
    <w:p/>
    <w:p>
      <w:r>
        <w:rPr>
          <w:b/>
        </w:rPr>
        <w:t xml:space="preserve">Overall Research Rating: </w:t>
      </w:r>
      <w:r>
        <w:t>A — Strong Proceed</w:t>
      </w:r>
    </w:p>
    <w:p>
      <w:r>
        <w:rPr>
          <w:b/>
        </w:rPr>
        <w:t xml:space="preserve">Top Risks Identified: </w:t>
      </w:r>
      <w:r>
        <w:t>Limited comprehensive financial data available for in-depth analysis.; Lack of detailed promoter background information beyond general statements.; Absence of specific sector-wide risk assessment for the retail segment.</w:t>
      </w:r>
    </w:p>
    <w:p/>
    <w:p>
      <w:pPr>
        <w:jc w:val="left"/>
      </w:pPr>
      <w:r>
        <w:rPr>
          <w:b/>
          <w:color w:val="1B3A6B"/>
          <w:sz w:val="24"/>
          <w:u w:val="single"/>
        </w:rPr>
        <w:t>CROSS-DOCUMENT FRAUD INTELLIGENCE</w:t>
      </w:r>
    </w:p>
    <w:p/>
    <w:p>
      <w:r>
        <w:rPr>
          <w:b/>
        </w:rPr>
        <w:t xml:space="preserve">Documents Compared: </w:t>
      </w:r>
      <w:r>
        <w:t>gst_filing, bank_statement, cibil_report</w:t>
      </w:r>
    </w:p>
    <w:p>
      <w:r>
        <w:rPr>
          <w:b/>
        </w:rPr>
        <w:t xml:space="preserve">Circular Trading Risk: </w:t>
      </w:r>
      <w:r>
        <w:t>Medium</w:t>
      </w:r>
    </w:p>
    <w:p>
      <w:r>
        <w:rPr>
          <w:b/>
        </w:rPr>
        <w:t xml:space="preserve">Revenue Inflation Risk: </w:t>
      </w:r>
      <w:r>
        <w:t>Low</w:t>
      </w:r>
    </w:p>
    <w:p/>
    <w:p>
      <w:r>
        <w:rPr>
          <w:b/>
        </w:rPr>
        <w:t>⚠ Flags Detected:</w:t>
      </w:r>
    </w:p>
    <w:p>
      <w:pPr>
        <w:pStyle w:val="ListBullet"/>
      </w:pPr>
      <w:r>
        <w:rPr>
          <w:b/>
        </w:rPr>
        <w:t xml:space="preserve">[HIGH] FAKE_ITC_RISK: </w:t>
      </w:r>
      <w:r>
        <w:t>GSTR-2A ITC (52.1 Cr) vs GSTR-3B ITC claimed (68.5 Cr) — 31.5% mismatch. Possible fake Input Tax Credit.</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D68910"/>
          </w:tcPr>
          <w:p>
            <w:pPr>
              <w:jc w:val="center"/>
            </w:pPr>
            <w:r>
              <w:rPr>
                <w:b/>
                <w:color w:val="FFFFFF"/>
                <w:sz w:val="28"/>
              </w:rPr>
              <w:t>RECOMMENDATION: CONDITIONAL_APPROVE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CONDITIONAL_APPROVE</w:t>
            </w:r>
          </w:p>
        </w:tc>
      </w:tr>
      <w:tr>
        <w:tc>
          <w:tcPr>
            <w:tcW w:type="dxa" w:w="4986"/>
            <w:shd w:val="clear" w:color="auto" w:fill="E8F0FA"/>
          </w:tcPr>
          <w:p>
            <w:r>
              <w:rPr>
                <w:b/>
              </w:rPr>
              <w:t>Credit Rating</w:t>
            </w:r>
          </w:p>
        </w:tc>
        <w:tc>
          <w:tcPr>
            <w:tcW w:type="dxa" w:w="4986"/>
          </w:tcPr>
          <w:p>
            <w:r>
              <w:t>B</w:t>
            </w:r>
          </w:p>
        </w:tc>
      </w:tr>
      <w:tr>
        <w:tc>
          <w:tcPr>
            <w:tcW w:type="dxa" w:w="4986"/>
            <w:shd w:val="clear" w:color="auto" w:fill="E8F0FA"/>
          </w:tcPr>
          <w:p>
            <w:r>
              <w:rPr>
                <w:b/>
              </w:rPr>
              <w:t>Credit Score</w:t>
            </w:r>
          </w:p>
        </w:tc>
        <w:tc>
          <w:tcPr>
            <w:tcW w:type="dxa" w:w="4986"/>
          </w:tcPr>
          <w:p>
            <w:r>
              <w:t>57.16/100</w:t>
            </w:r>
          </w:p>
        </w:tc>
      </w:tr>
      <w:tr>
        <w:tc>
          <w:tcPr>
            <w:tcW w:type="dxa" w:w="4986"/>
            <w:shd w:val="clear" w:color="auto" w:fill="E8F0FA"/>
          </w:tcPr>
          <w:p>
            <w:r>
              <w:rPr>
                <w:b/>
              </w:rPr>
              <w:t>Recommended Amount</w:t>
            </w:r>
          </w:p>
        </w:tc>
        <w:tc>
          <w:tcPr>
            <w:tcW w:type="dxa" w:w="4986"/>
          </w:tcPr>
          <w:p>
            <w:r>
              <w:t>₹10 Cr</w:t>
            </w:r>
          </w:p>
        </w:tc>
      </w:tr>
      <w:tr>
        <w:tc>
          <w:tcPr>
            <w:tcW w:type="dxa" w:w="4986"/>
            <w:shd w:val="clear" w:color="auto" w:fill="E8F0FA"/>
          </w:tcPr>
          <w:p>
            <w:r>
              <w:rPr>
                <w:b/>
              </w:rPr>
              <w:t>Interest Rate</w:t>
            </w:r>
          </w:p>
        </w:tc>
        <w:tc>
          <w:tcPr>
            <w:tcW w:type="dxa" w:w="4986"/>
          </w:tcPr>
          <w:p>
            <w:r>
              <w:t>15.5%</w:t>
            </w:r>
          </w:p>
        </w:tc>
      </w:tr>
      <w:tr>
        <w:tc>
          <w:tcPr>
            <w:tcW w:type="dxa" w:w="4986"/>
            <w:shd w:val="clear" w:color="auto" w:fill="E8F0FA"/>
          </w:tcPr>
          <w:p>
            <w:r>
              <w:rPr>
                <w:b/>
              </w:rPr>
              <w:t>Tenure</w:t>
            </w:r>
          </w:p>
        </w:tc>
        <w:tc>
          <w:tcPr>
            <w:tcW w:type="dxa" w:w="4986"/>
          </w:tcPr>
          <w:p>
            <w:r>
              <w:t>12 months</w:t>
            </w:r>
          </w:p>
        </w:tc>
      </w:tr>
    </w:tbl>
    <w:p/>
    <w:p>
      <w:r>
        <w:rPr>
          <w:b/>
        </w:rPr>
        <w:t xml:space="preserve">Rationale: </w:t>
      </w:r>
      <w:r>
        <w:t>Blended score 57.16/100 with rating B. Five-Cs weighted score after penalties: 38.3. Entity type assessed as corporate. Recommendation is CONDITIONAL_APPROVE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19:01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