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2160"/>
        <w:gridCol w:w="5040"/>
        <w:gridCol w:w="2880"/>
      </w:tblGrid>
      <w:tr>
        <w:tc>
          <w:tcPr>
            <w:tcW w:type="dxa" w:w="3324"/>
            <w:shd w:val="clear" w:color="auto" w:fill="1B3A6B"/>
          </w:tcPr>
          <w:p>
            <w:pPr>
              <w:jc w:val="left"/>
            </w:pPr>
            <w:r>
              <w:rPr>
                <w:b/>
                <w:color w:val="C9A84C"/>
                <w:sz w:val="18"/>
              </w:rPr>
              <w:t>VIVRITI CAPITAL</w:t>
            </w:r>
          </w:p>
        </w:tc>
        <w:tc>
          <w:tcPr>
            <w:tcW w:type="dxa" w:w="3324"/>
            <w:shd w:val="clear" w:color="auto" w:fill="1B3A6B"/>
          </w:tcPr>
          <w:p>
            <w:pPr>
              <w:jc w:val="center"/>
            </w:pPr>
            <w:r>
              <w:rPr>
                <w:b/>
                <w:color w:val="FFFFFF"/>
                <w:sz w:val="28"/>
              </w:rPr>
              <w:t>CREDIT APPRAISAL MEMORANDUM</w:t>
              <w:br/>
            </w:r>
            <w:r>
              <w:rPr>
                <w:b/>
                <w:color w:val="C9A84C"/>
                <w:sz w:val="22"/>
              </w:rPr>
              <w:t>NOVA RETAILMART</w:t>
            </w:r>
          </w:p>
        </w:tc>
        <w:tc>
          <w:tcPr>
            <w:tcW w:type="dxa" w:w="3324"/>
            <w:shd w:val="clear" w:color="auto" w:fill="1B3A6B"/>
          </w:tcPr>
          <w:p>
            <w:pPr>
              <w:jc w:val="center"/>
            </w:pPr>
            <w:r>
              <w:rPr>
                <w:b/>
                <w:color w:val="D68910"/>
                <w:sz w:val="26"/>
              </w:rPr>
              <w:t>CONDITIONAL_APPROVE</w:t>
              <w:br/>
            </w:r>
            <w:r>
              <w:rPr>
                <w:b/>
                <w:color w:val="FFFFFF"/>
                <w:sz w:val="22"/>
              </w:rPr>
              <w:t>Rating: B</w:t>
            </w:r>
          </w:p>
        </w:tc>
      </w:tr>
    </w:tbl>
    <w:p/>
    <w:p>
      <w:pPr>
        <w:jc w:val="left"/>
      </w:pPr>
      <w:r>
        <w:rPr>
          <w:b/>
          <w:color w:val="1B3A6B"/>
          <w:sz w:val="24"/>
          <w:u w:val="single"/>
        </w:rPr>
        <w:t>EXECUTIVE SUMMARY</w:t>
      </w:r>
    </w:p>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B3A6B"/>
          </w:tcPr>
          <w:p>
            <w:pPr>
              <w:jc w:val="center"/>
            </w:pPr>
            <w:r/>
            <w:r>
              <w:rPr>
                <w:b/>
                <w:color w:val="FFFFFF"/>
                <w:sz w:val="18"/>
              </w:rPr>
              <w:t>Credit Score</w:t>
            </w:r>
          </w:p>
        </w:tc>
        <w:tc>
          <w:tcPr>
            <w:tcW w:type="dxa" w:w="1994"/>
            <w:shd w:val="clear" w:color="auto" w:fill="1B3A6B"/>
          </w:tcPr>
          <w:p>
            <w:pPr>
              <w:jc w:val="center"/>
            </w:pPr>
            <w:r/>
            <w:r>
              <w:rPr>
                <w:b/>
                <w:color w:val="FFFFFF"/>
                <w:sz w:val="18"/>
              </w:rPr>
              <w:t>Rating</w:t>
            </w:r>
          </w:p>
        </w:tc>
        <w:tc>
          <w:tcPr>
            <w:tcW w:type="dxa" w:w="1994"/>
            <w:shd w:val="clear" w:color="auto" w:fill="1B3A6B"/>
          </w:tcPr>
          <w:p>
            <w:pPr>
              <w:jc w:val="center"/>
            </w:pPr>
            <w:r/>
            <w:r>
              <w:rPr>
                <w:b/>
                <w:color w:val="FFFFFF"/>
                <w:sz w:val="18"/>
              </w:rPr>
              <w:t>Decision</w:t>
            </w:r>
          </w:p>
        </w:tc>
        <w:tc>
          <w:tcPr>
            <w:tcW w:type="dxa" w:w="1994"/>
            <w:shd w:val="clear" w:color="auto" w:fill="1B3A6B"/>
          </w:tcPr>
          <w:p>
            <w:pPr>
              <w:jc w:val="center"/>
            </w:pPr>
            <w:r/>
            <w:r>
              <w:rPr>
                <w:b/>
                <w:color w:val="FFFFFF"/>
                <w:sz w:val="18"/>
              </w:rPr>
              <w:t>Recommended Amount</w:t>
            </w:r>
          </w:p>
        </w:tc>
        <w:tc>
          <w:tcPr>
            <w:tcW w:type="dxa" w:w="1994"/>
            <w:shd w:val="clear" w:color="auto" w:fill="1B3A6B"/>
          </w:tcPr>
          <w:p>
            <w:pPr>
              <w:jc w:val="center"/>
            </w:pPr>
            <w:r/>
            <w:r>
              <w:rPr>
                <w:b/>
                <w:color w:val="FFFFFF"/>
                <w:sz w:val="18"/>
              </w:rPr>
              <w:t>Interest Rate</w:t>
            </w:r>
          </w:p>
        </w:tc>
      </w:tr>
      <w:tr>
        <w:tc>
          <w:tcPr>
            <w:tcW w:type="dxa" w:w="1994"/>
            <w:shd w:val="clear" w:color="auto" w:fill="E8F0FA"/>
          </w:tcPr>
          <w:p>
            <w:pPr>
              <w:jc w:val="center"/>
            </w:pPr>
            <w:r>
              <w:rPr>
                <w:b/>
              </w:rPr>
              <w:t>57.16/100</w:t>
            </w:r>
          </w:p>
        </w:tc>
        <w:tc>
          <w:tcPr>
            <w:tcW w:type="dxa" w:w="1994"/>
            <w:shd w:val="clear" w:color="auto" w:fill="E8F0FA"/>
          </w:tcPr>
          <w:p>
            <w:pPr>
              <w:jc w:val="center"/>
            </w:pPr>
            <w:r>
              <w:rPr>
                <w:b/>
              </w:rPr>
              <w:t>B</w:t>
            </w:r>
          </w:p>
        </w:tc>
        <w:tc>
          <w:tcPr>
            <w:tcW w:type="dxa" w:w="1994"/>
            <w:shd w:val="clear" w:color="auto" w:fill="E8F0FA"/>
          </w:tcPr>
          <w:p>
            <w:pPr>
              <w:jc w:val="center"/>
            </w:pPr>
            <w:r>
              <w:rPr>
                <w:b/>
              </w:rPr>
              <w:t>CONDITIONAL_APPROVE</w:t>
            </w:r>
          </w:p>
        </w:tc>
        <w:tc>
          <w:tcPr>
            <w:tcW w:type="dxa" w:w="1994"/>
            <w:shd w:val="clear" w:color="auto" w:fill="E8F0FA"/>
          </w:tcPr>
          <w:p>
            <w:pPr>
              <w:jc w:val="center"/>
            </w:pPr>
            <w:r>
              <w:rPr>
                <w:b/>
              </w:rPr>
              <w:t>₹10 Cr</w:t>
            </w:r>
          </w:p>
        </w:tc>
        <w:tc>
          <w:tcPr>
            <w:tcW w:type="dxa" w:w="1994"/>
            <w:shd w:val="clear" w:color="auto" w:fill="E8F0FA"/>
          </w:tcPr>
          <w:p>
            <w:pPr>
              <w:jc w:val="center"/>
            </w:pPr>
            <w:r>
              <w:rPr>
                <w:b/>
              </w:rPr>
              <w:t>15.5%</w:t>
            </w:r>
          </w:p>
        </w:tc>
      </w:tr>
    </w:tbl>
    <w:p/>
    <w:p>
      <w:r>
        <w:rPr>
          <w:b/>
        </w:rPr>
        <w:t xml:space="preserve">Decision Rationale: </w:t>
      </w:r>
      <w:r>
        <w:t>Blended score 57.16/100 with rating B. Five-Cs weighted score after penalties: 38.3. Entity type assessed as corporate. Recommendation is CONDITIONAL_APPROVE based on calibrated thresholds and policy floors.</w:t>
      </w:r>
    </w:p>
    <w:p/>
    <w:p>
      <w:r>
        <w:rPr>
          <w:b/>
        </w:rPr>
        <w:t xml:space="preserve">Date of Appraisal: </w:t>
      </w:r>
      <w:r>
        <w:t>09 March 2026</w:t>
      </w:r>
      <w:r>
        <w:rPr>
          <w:b/>
        </w:rPr>
        <w:t xml:space="preserve">   |   Loan Purpose: </w:t>
      </w:r>
      <w:r>
        <w:t>Working Capital support</w:t>
      </w:r>
    </w:p>
    <w:p>
      <w:pPr>
        <w:jc w:val="left"/>
      </w:pPr>
      <w:r>
        <w:rPr>
          <w:b/>
          <w:color w:val="1B3A6B"/>
          <w:sz w:val="24"/>
          <w:u w:val="single"/>
        </w:rPr>
        <w:t>COMPANY BACKGROUND</w:t>
      </w:r>
    </w:p>
    <w:p/>
    <w:tbl>
      <w:tblPr>
        <w:tblStyle w:val="TableGrid"/>
        <w:tblW w:type="auto" w:w="0"/>
        <w:tblLook w:firstColumn="1" w:firstRow="1" w:lastColumn="0" w:lastRow="0" w:noHBand="0" w:noVBand="1" w:val="04A0"/>
      </w:tblPr>
      <w:tblGrid>
        <w:gridCol w:w="2880"/>
        <w:gridCol w:w="7200"/>
      </w:tblGrid>
      <w:tr>
        <w:tc>
          <w:tcPr>
            <w:tcW w:type="dxa" w:w="4986"/>
            <w:shd w:val="clear" w:color="auto" w:fill="E8F0FA"/>
          </w:tcPr>
          <w:p>
            <w:r>
              <w:rPr>
                <w:b/>
              </w:rPr>
              <w:t>Company Name</w:t>
            </w:r>
          </w:p>
        </w:tc>
        <w:tc>
          <w:tcPr>
            <w:tcW w:type="dxa" w:w="4986"/>
          </w:tcPr>
          <w:p>
            <w:r>
              <w:t>Nova Retailmart Private Limited</w:t>
            </w:r>
          </w:p>
        </w:tc>
      </w:tr>
      <w:tr>
        <w:tc>
          <w:tcPr>
            <w:tcW w:type="dxa" w:w="4986"/>
            <w:shd w:val="clear" w:color="auto" w:fill="E8F0FA"/>
          </w:tcPr>
          <w:p>
            <w:r>
              <w:rPr>
                <w:b/>
              </w:rPr>
              <w:t>CIN</w:t>
            </w:r>
          </w:p>
        </w:tc>
        <w:tc>
          <w:tcPr>
            <w:tcW w:type="dxa" w:w="4986"/>
          </w:tcPr>
          <w:p>
            <w:r>
              <w:t>Not extracted</w:t>
            </w:r>
          </w:p>
        </w:tc>
      </w:tr>
      <w:tr>
        <w:tc>
          <w:tcPr>
            <w:tcW w:type="dxa" w:w="4986"/>
            <w:shd w:val="clear" w:color="auto" w:fill="E8F0FA"/>
          </w:tcPr>
          <w:p>
            <w:r>
              <w:rPr>
                <w:b/>
              </w:rPr>
              <w:t>Entity Type</w:t>
            </w:r>
          </w:p>
        </w:tc>
        <w:tc>
          <w:tcPr>
            <w:tcW w:type="dxa" w:w="4986"/>
          </w:tcPr>
          <w:p>
            <w:r>
              <w:t>CORPORATE</w:t>
            </w:r>
          </w:p>
        </w:tc>
      </w:tr>
      <w:tr>
        <w:tc>
          <w:tcPr>
            <w:tcW w:type="dxa" w:w="4986"/>
            <w:shd w:val="clear" w:color="auto" w:fill="E8F0FA"/>
          </w:tcPr>
          <w:p>
            <w:r>
              <w:rPr>
                <w:b/>
              </w:rPr>
              <w:t>Directors</w:t>
            </w:r>
          </w:p>
        </w:tc>
        <w:tc>
          <w:tcPr>
            <w:tcW w:type="dxa" w:w="4986"/>
          </w:tcPr>
          <w:p>
            <w:r>
              <w:t>Not extracted</w:t>
            </w:r>
          </w:p>
        </w:tc>
      </w:tr>
      <w:tr>
        <w:tc>
          <w:tcPr>
            <w:tcW w:type="dxa" w:w="4986"/>
            <w:shd w:val="clear" w:color="auto" w:fill="E8F0FA"/>
          </w:tcPr>
          <w:p>
            <w:r>
              <w:rPr>
                <w:b/>
              </w:rPr>
              <w:t>Promoters</w:t>
            </w:r>
          </w:p>
        </w:tc>
        <w:tc>
          <w:tcPr>
            <w:tcW w:type="dxa" w:w="4986"/>
          </w:tcPr>
          <w:p>
            <w:r>
              <w:t>P, ., S, e, t, h, i</w:t>
            </w:r>
          </w:p>
        </w:tc>
      </w:tr>
      <w:tr>
        <w:tc>
          <w:tcPr>
            <w:tcW w:type="dxa" w:w="4986"/>
            <w:shd w:val="clear" w:color="auto" w:fill="E8F0FA"/>
          </w:tcPr>
          <w:p>
            <w:r>
              <w:rPr>
                <w:b/>
              </w:rPr>
              <w:t>Extraction Notes</w:t>
            </w:r>
          </w:p>
        </w:tc>
        <w:tc>
          <w:tcPr>
            <w:tcW w:type="dxa" w:w="4986"/>
          </w:tcPr>
          <w:p>
            <w:r>
              <w:t>—</w:t>
            </w:r>
          </w:p>
        </w:tc>
      </w:tr>
    </w:tbl>
    <w:p/>
    <w:p>
      <w:pPr>
        <w:jc w:val="left"/>
      </w:pPr>
      <w:r>
        <w:rPr>
          <w:b/>
          <w:color w:val="1B3A6B"/>
          <w:sz w:val="24"/>
          <w:u w:val="single"/>
        </w:rPr>
        <w:t>FINANCIAL ANALYSIS</w:t>
      </w:r>
    </w:p>
    <w:p/>
    <w:tbl>
      <w:tblPr>
        <w:tblStyle w:val="TableGrid"/>
        <w:tblW w:type="auto" w:w="0"/>
        <w:tblLook w:firstColumn="1" w:firstRow="1" w:lastColumn="0" w:lastRow="0" w:noHBand="0" w:noVBand="1" w:val="04A0"/>
      </w:tblPr>
      <w:tblGrid>
        <w:gridCol w:w="4986"/>
        <w:gridCol w:w="4986"/>
      </w:tblGrid>
      <w:tr>
        <w:tc>
          <w:tcPr>
            <w:tcW w:type="dxa" w:w="4986"/>
            <w:shd w:val="clear" w:color="auto" w:fill="1B3A6B"/>
          </w:tcPr>
          <w:p>
            <w:r/>
            <w:r>
              <w:rPr>
                <w:b/>
                <w:color w:val="FFFFFF"/>
                <w:sz w:val="20"/>
              </w:rPr>
              <w:t>Metric</w:t>
            </w:r>
          </w:p>
        </w:tc>
        <w:tc>
          <w:tcPr>
            <w:tcW w:type="dxa" w:w="4986"/>
            <w:shd w:val="clear" w:color="auto" w:fill="1B3A6B"/>
          </w:tcPr>
          <w:p>
            <w:r/>
            <w:r>
              <w:rPr>
                <w:b/>
                <w:color w:val="FFFFFF"/>
                <w:sz w:val="20"/>
              </w:rPr>
              <w:t>Value (FY Latest)</w:t>
            </w:r>
          </w:p>
        </w:tc>
      </w:tr>
      <w:tr>
        <w:tc>
          <w:tcPr>
            <w:tcW w:type="dxa" w:w="4986"/>
          </w:tcPr>
          <w:p>
            <w:r>
              <w:t>Revenue</w:t>
            </w:r>
          </w:p>
        </w:tc>
        <w:tc>
          <w:tcPr>
            <w:tcW w:type="dxa" w:w="4986"/>
          </w:tcPr>
          <w:p>
            <w:r>
              <w:t>₹485 Cr</w:t>
            </w:r>
          </w:p>
        </w:tc>
      </w:tr>
      <w:tr>
        <w:tc>
          <w:tcPr>
            <w:tcW w:type="dxa" w:w="4986"/>
            <w:shd w:val="clear" w:color="auto" w:fill="F5F5F5"/>
          </w:tcPr>
          <w:p>
            <w:r>
              <w:t>Revenue Growth</w:t>
            </w:r>
          </w:p>
        </w:tc>
        <w:tc>
          <w:tcPr>
            <w:tcW w:type="dxa" w:w="4986"/>
            <w:shd w:val="clear" w:color="auto" w:fill="F5F5F5"/>
          </w:tcPr>
          <w:p>
            <w:r>
              <w:t>N/A</w:t>
            </w:r>
          </w:p>
        </w:tc>
      </w:tr>
      <w:tr>
        <w:tc>
          <w:tcPr>
            <w:tcW w:type="dxa" w:w="4986"/>
          </w:tcPr>
          <w:p>
            <w:r>
              <w:t>Profit After Tax</w:t>
            </w:r>
          </w:p>
        </w:tc>
        <w:tc>
          <w:tcPr>
            <w:tcW w:type="dxa" w:w="4986"/>
          </w:tcPr>
          <w:p>
            <w:r>
              <w:t>N/A</w:t>
            </w:r>
          </w:p>
        </w:tc>
      </w:tr>
      <w:tr>
        <w:tc>
          <w:tcPr>
            <w:tcW w:type="dxa" w:w="4986"/>
            <w:shd w:val="clear" w:color="auto" w:fill="F5F5F5"/>
          </w:tcPr>
          <w:p>
            <w:r>
              <w:t>EBITDA</w:t>
            </w:r>
          </w:p>
        </w:tc>
        <w:tc>
          <w:tcPr>
            <w:tcW w:type="dxa" w:w="4986"/>
            <w:shd w:val="clear" w:color="auto" w:fill="F5F5F5"/>
          </w:tcPr>
          <w:p>
            <w:r>
              <w:t>N/A</w:t>
            </w:r>
          </w:p>
        </w:tc>
      </w:tr>
      <w:tr>
        <w:tc>
          <w:tcPr>
            <w:tcW w:type="dxa" w:w="4986"/>
          </w:tcPr>
          <w:p>
            <w:r>
              <w:t>EBITDA Margin</w:t>
            </w:r>
          </w:p>
        </w:tc>
        <w:tc>
          <w:tcPr>
            <w:tcW w:type="dxa" w:w="4986"/>
          </w:tcPr>
          <w:p>
            <w:r>
              <w:t>N/A</w:t>
            </w:r>
          </w:p>
        </w:tc>
      </w:tr>
      <w:tr>
        <w:tc>
          <w:tcPr>
            <w:tcW w:type="dxa" w:w="4986"/>
            <w:shd w:val="clear" w:color="auto" w:fill="F5F5F5"/>
          </w:tcPr>
          <w:p>
            <w:r>
              <w:t>Total Assets</w:t>
            </w:r>
          </w:p>
        </w:tc>
        <w:tc>
          <w:tcPr>
            <w:tcW w:type="dxa" w:w="4986"/>
            <w:shd w:val="clear" w:color="auto" w:fill="F5F5F5"/>
          </w:tcPr>
          <w:p>
            <w:r>
              <w:t>N/A</w:t>
            </w:r>
          </w:p>
        </w:tc>
      </w:tr>
      <w:tr>
        <w:tc>
          <w:tcPr>
            <w:tcW w:type="dxa" w:w="4986"/>
          </w:tcPr>
          <w:p>
            <w:r>
              <w:t>Net Worth</w:t>
            </w:r>
          </w:p>
        </w:tc>
        <w:tc>
          <w:tcPr>
            <w:tcW w:type="dxa" w:w="4986"/>
          </w:tcPr>
          <w:p>
            <w:r>
              <w:t>N/A</w:t>
            </w:r>
          </w:p>
        </w:tc>
      </w:tr>
      <w:tr>
        <w:tc>
          <w:tcPr>
            <w:tcW w:type="dxa" w:w="4986"/>
            <w:shd w:val="clear" w:color="auto" w:fill="F5F5F5"/>
          </w:tcPr>
          <w:p>
            <w:r>
              <w:t>Total Borrowings</w:t>
            </w:r>
          </w:p>
        </w:tc>
        <w:tc>
          <w:tcPr>
            <w:tcW w:type="dxa" w:w="4986"/>
            <w:shd w:val="clear" w:color="auto" w:fill="F5F5F5"/>
          </w:tcPr>
          <w:p>
            <w:r>
              <w:t>N/A</w:t>
            </w:r>
          </w:p>
        </w:tc>
      </w:tr>
      <w:tr>
        <w:tc>
          <w:tcPr>
            <w:tcW w:type="dxa" w:w="4986"/>
          </w:tcPr>
          <w:p>
            <w:r>
              <w:t>Debt / Equity</w:t>
            </w:r>
          </w:p>
        </w:tc>
        <w:tc>
          <w:tcPr>
            <w:tcW w:type="dxa" w:w="4986"/>
          </w:tcPr>
          <w:p>
            <w:r>
              <w:t>N/A</w:t>
            </w:r>
          </w:p>
        </w:tc>
      </w:tr>
      <w:tr>
        <w:tc>
          <w:tcPr>
            <w:tcW w:type="dxa" w:w="4986"/>
            <w:shd w:val="clear" w:color="auto" w:fill="F5F5F5"/>
          </w:tcPr>
          <w:p>
            <w:r>
              <w:t>Current Ratio</w:t>
            </w:r>
          </w:p>
        </w:tc>
        <w:tc>
          <w:tcPr>
            <w:tcW w:type="dxa" w:w="4986"/>
            <w:shd w:val="clear" w:color="auto" w:fill="F5F5F5"/>
          </w:tcPr>
          <w:p>
            <w:r>
              <w:t>N/A</w:t>
            </w:r>
          </w:p>
        </w:tc>
      </w:tr>
      <w:tr>
        <w:tc>
          <w:tcPr>
            <w:tcW w:type="dxa" w:w="4986"/>
          </w:tcPr>
          <w:p>
            <w:r>
              <w:t>Interest Coverage</w:t>
            </w:r>
          </w:p>
        </w:tc>
        <w:tc>
          <w:tcPr>
            <w:tcW w:type="dxa" w:w="4986"/>
          </w:tcPr>
          <w:p>
            <w:r>
              <w:t>N/A</w:t>
            </w:r>
          </w:p>
        </w:tc>
      </w:tr>
      <w:tr>
        <w:tc>
          <w:tcPr>
            <w:tcW w:type="dxa" w:w="4986"/>
            <w:shd w:val="clear" w:color="auto" w:fill="F5F5F5"/>
          </w:tcPr>
          <w:p>
            <w:r>
              <w:t>Return on Equity</w:t>
            </w:r>
          </w:p>
        </w:tc>
        <w:tc>
          <w:tcPr>
            <w:tcW w:type="dxa" w:w="4986"/>
            <w:shd w:val="clear" w:color="auto" w:fill="F5F5F5"/>
          </w:tcPr>
          <w:p>
            <w:r>
              <w:t>N/A</w:t>
            </w:r>
          </w:p>
        </w:tc>
      </w:tr>
    </w:tbl>
    <w:p/>
    <w:p>
      <w:r>
        <w:rPr>
          <w:b/>
        </w:rPr>
        <w:t xml:space="preserve">⚠ Red Flags Detected: </w:t>
      </w:r>
      <w:r>
        <w:rPr>
          <w:color w:val="C0392B"/>
        </w:rPr>
        <w:t>Itc Mismatch, Show Cause Notice</w:t>
      </w:r>
    </w:p>
    <w:p/>
    <w:p>
      <w:pPr>
        <w:jc w:val="left"/>
      </w:pPr>
      <w:r>
        <w:rPr>
          <w:b/>
          <w:color w:val="1B3A6B"/>
          <w:sz w:val="24"/>
          <w:u w:val="single"/>
        </w:rPr>
        <w:t>FIVE Cs OF CREDIT ASSESSMENT</w:t>
      </w:r>
    </w:p>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3A6B"/>
          </w:tcPr>
          <w:p>
            <w:r/>
            <w:r>
              <w:rPr>
                <w:b/>
                <w:color w:val="FFFFFF"/>
                <w:sz w:val="20"/>
              </w:rPr>
              <w:t>C</w:t>
            </w:r>
          </w:p>
        </w:tc>
        <w:tc>
          <w:tcPr>
            <w:tcW w:type="dxa" w:w="2493"/>
            <w:shd w:val="clear" w:color="auto" w:fill="1B3A6B"/>
          </w:tcPr>
          <w:p>
            <w:r/>
            <w:r>
              <w:rPr>
                <w:b/>
                <w:color w:val="FFFFFF"/>
                <w:sz w:val="20"/>
              </w:rPr>
              <w:t>Score</w:t>
            </w:r>
          </w:p>
        </w:tc>
        <w:tc>
          <w:tcPr>
            <w:tcW w:type="dxa" w:w="2493"/>
            <w:shd w:val="clear" w:color="auto" w:fill="1B3A6B"/>
          </w:tcPr>
          <w:p>
            <w:r/>
            <w:r>
              <w:rPr>
                <w:b/>
                <w:color w:val="FFFFFF"/>
                <w:sz w:val="20"/>
              </w:rPr>
              <w:t>Weight</w:t>
            </w:r>
          </w:p>
        </w:tc>
        <w:tc>
          <w:tcPr>
            <w:tcW w:type="dxa" w:w="2493"/>
            <w:shd w:val="clear" w:color="auto" w:fill="1B3A6B"/>
          </w:tcPr>
          <w:p>
            <w:r/>
            <w:r>
              <w:rPr>
                <w:b/>
                <w:color w:val="FFFFFF"/>
                <w:sz w:val="20"/>
              </w:rPr>
              <w:t>Rationale</w:t>
            </w:r>
          </w:p>
        </w:tc>
      </w:tr>
      <w:tr>
        <w:tc>
          <w:tcPr>
            <w:tcW w:type="dxa" w:w="2493"/>
          </w:tcPr>
          <w:p>
            <w:r>
              <w:rPr>
                <w:b/>
              </w:rPr>
              <w:t>👤 Character</w:t>
            </w:r>
          </w:p>
        </w:tc>
        <w:tc>
          <w:tcPr>
            <w:tcW w:type="dxa" w:w="2493"/>
          </w:tcPr>
          <w:p>
            <w:r>
              <w:t>50</w:t>
            </w:r>
          </w:p>
        </w:tc>
        <w:tc>
          <w:tcPr>
            <w:tcW w:type="dxa" w:w="2493"/>
          </w:tcPr>
          <w:p>
            <w:r>
              <w:t>25%</w:t>
            </w:r>
          </w:p>
        </w:tc>
        <w:tc>
          <w:tcPr>
            <w:tcW w:type="dxa" w:w="2493"/>
          </w:tcPr>
          <w:p>
            <w:r>
              <w:t>Promoter P. Sethi is a wilful defaulter with criminal cases and a poor reputation (research.promoter_background.wilful_defaulter: true, criminal_cases: true). The company faces NCLT insolvency proceedings and IBC-CIRP (legal_disputes.nclt_proceedings: true, ibc_cirp: true). Management was evasive and avoided reconciliation questions, and revenue figures appear mismatched across documents (manual_notes). The audit is qualified, and a going concern issue exists (financials.red_flags.audit_qualified: true, going_concern_issue: true).</w:t>
            </w:r>
          </w:p>
        </w:tc>
      </w:tr>
      <w:tr>
        <w:tc>
          <w:tcPr>
            <w:tcW w:type="dxa" w:w="2493"/>
            <w:shd w:val="clear" w:color="auto" w:fill="E8F0FA"/>
          </w:tcPr>
          <w:p>
            <w:r>
              <w:rPr>
                <w:b/>
              </w:rPr>
              <w:t>💰 Capacity</w:t>
            </w:r>
          </w:p>
        </w:tc>
        <w:tc>
          <w:tcPr>
            <w:tcW w:type="dxa" w:w="2493"/>
            <w:shd w:val="clear" w:color="auto" w:fill="E8F0FA"/>
          </w:tcPr>
          <w:p>
            <w:r>
              <w:t>40</w:t>
            </w:r>
          </w:p>
        </w:tc>
        <w:tc>
          <w:tcPr>
            <w:tcW w:type="dxa" w:w="2493"/>
            <w:shd w:val="clear" w:color="auto" w:fill="E8F0FA"/>
          </w:tcPr>
          <w:p>
            <w:r>
              <w:t>30%</w:t>
            </w:r>
          </w:p>
        </w:tc>
        <w:tc>
          <w:tcPr>
            <w:tcW w:type="dxa" w:w="2493"/>
            <w:shd w:val="clear" w:color="auto" w:fill="E8F0FA"/>
          </w:tcPr>
          <w:p>
            <w:r>
              <w:t>The company has a negative Profit After Tax of -48 crores and an extremely low EBITDA margin of 1.7% (financials.profit_after_tax: -48, ebitda_margin_percent: 1.7). The Interest Coverage Ratio is critically low at 0.62, and the approximate DSCR is 0.58, indicating an inability to cover interest and debt obligations (financials.interest_coverage_ratio: 0.62, dscr_approximate: 0.58). Revenue figures are mismatched across financial documents (e.g., reported revenue 690 Cr vs GST 980 Cr vs ITR 540 Cr vs Bank 380 Cr), suggesting potential inflation (manual_notes, financial/gst/itr/bank statement revenue fields). There are also 14 bank bounces and delayed vendor payments (bank_statement_summary.bounce_count: 14, research.company_news.risk_signals).</w:t>
            </w:r>
          </w:p>
        </w:tc>
      </w:tr>
      <w:tr>
        <w:tc>
          <w:tcPr>
            <w:tcW w:type="dxa" w:w="2493"/>
          </w:tcPr>
          <w:p>
            <w:r>
              <w:rPr>
                <w:b/>
              </w:rPr>
              <w:t>🏛️ Capital</w:t>
            </w:r>
          </w:p>
        </w:tc>
        <w:tc>
          <w:tcPr>
            <w:tcW w:type="dxa" w:w="2493"/>
          </w:tcPr>
          <w:p>
            <w:r>
              <w:t>40</w:t>
            </w:r>
          </w:p>
        </w:tc>
        <w:tc>
          <w:tcPr>
            <w:tcW w:type="dxa" w:w="2493"/>
          </w:tcPr>
          <w:p>
            <w:r>
              <w:t>20%</w:t>
            </w:r>
          </w:p>
        </w:tc>
        <w:tc>
          <w:tcPr>
            <w:tcW w:type="dxa" w:w="2493"/>
          </w:tcPr>
          <w:p>
            <w:r>
              <w:t>The company is highly leveraged with a Debt-Equity Ratio of 7.2, far exceeding acceptable levels (financials.debt_equity_ratio: 7.2). Net worth is only 58 crores against total borrowings of 420 crores (financials.net_worth: 58, total_borrowings: 420). The Current Ratio of 0.76 indicates insufficient liquidity to cover short-term obligations (financials.current_ratio: 0.76).</w:t>
            </w:r>
          </w:p>
        </w:tc>
      </w:tr>
      <w:tr>
        <w:tc>
          <w:tcPr>
            <w:tcW w:type="dxa" w:w="2493"/>
            <w:shd w:val="clear" w:color="auto" w:fill="E8F0FA"/>
          </w:tcPr>
          <w:p>
            <w:r>
              <w:rPr>
                <w:b/>
              </w:rPr>
              <w:t>🔒 Collateral</w:t>
            </w:r>
          </w:p>
        </w:tc>
        <w:tc>
          <w:tcPr>
            <w:tcW w:type="dxa" w:w="2493"/>
            <w:shd w:val="clear" w:color="auto" w:fill="E8F0FA"/>
          </w:tcPr>
          <w:p>
            <w:r>
              <w:t>38</w:t>
            </w:r>
          </w:p>
        </w:tc>
        <w:tc>
          <w:tcPr>
            <w:tcW w:type="dxa" w:w="2493"/>
            <w:shd w:val="clear" w:color="auto" w:fill="E8F0FA"/>
          </w:tcPr>
          <w:p>
            <w:r>
              <w:t>15%</w:t>
            </w:r>
          </w:p>
        </w:tc>
        <w:tc>
          <w:tcPr>
            <w:tcW w:type="dxa" w:w="2493"/>
            <w:shd w:val="clear" w:color="auto" w:fill="E8F0FA"/>
          </w:tcPr>
          <w:p>
            <w:r>
              <w:t>While total assets are reported at 560 crores against a loan amount of 95 crores (financials.total_assets: 560, loan_amount_crores: 95), the going concern issue and NCLT insolvency proceedings raise serious doubts about the quality and realizability of these assets (financials.red_flags.going_concern_issue: true, legal_disputes.nclt_proceedings: true). The asset base is likely to be significantly impaired, with high total borrowings of 420 crores already potentially encumbering assets (financials.total_borrowings: 420).</w:t>
            </w:r>
          </w:p>
        </w:tc>
      </w:tr>
      <w:tr>
        <w:tc>
          <w:tcPr>
            <w:tcW w:type="dxa" w:w="2493"/>
          </w:tcPr>
          <w:p>
            <w:r>
              <w:rPr>
                <w:b/>
              </w:rPr>
              <w:t>🌍 Conditions</w:t>
            </w:r>
          </w:p>
        </w:tc>
        <w:tc>
          <w:tcPr>
            <w:tcW w:type="dxa" w:w="2493"/>
          </w:tcPr>
          <w:p>
            <w:r>
              <w:t>0</w:t>
            </w:r>
          </w:p>
        </w:tc>
        <w:tc>
          <w:tcPr>
            <w:tcW w:type="dxa" w:w="2493"/>
          </w:tcPr>
          <w:p>
            <w:r>
              <w:t>10%</w:t>
            </w:r>
          </w:p>
        </w:tc>
        <w:tc>
          <w:tcPr>
            <w:tcW w:type="dxa" w:w="2493"/>
          </w:tcPr>
          <w:p>
            <w:r>
              <w:t>The company's external credit rating of 'CCC (Negative)' indicates substantial risk and vulnerability to default (financials.external_credit_rating: 'CCC (Negative)'). The company is experiencing severe operational distress, including store closures and low throughput, with a negative news sentiment and default mentions (research.company_news.sentiment: 'Negative', risk_signals: ['Store closures'], manual_notes: 'Store network at low throughput').</w:t>
            </w:r>
          </w:p>
        </w:tc>
      </w:tr>
    </w:tbl>
    <w:p/>
    <w:p>
      <w:r>
        <w:rPr>
          <w:b/>
        </w:rPr>
        <w:t xml:space="preserve">Weighted Score: </w:t>
      </w:r>
      <w:r>
        <w:t>38.3/100</w:t>
      </w:r>
      <w:r>
        <w:t xml:space="preserve">   |   </w:t>
      </w:r>
      <w:r>
        <w:rPr>
          <w:b/>
        </w:rPr>
        <w:t xml:space="preserve">Penalty Applied: </w:t>
      </w:r>
      <w:r>
        <w:t>0 points</w:t>
      </w:r>
      <w:r>
        <w:t xml:space="preserve">   |   </w:t>
      </w:r>
      <w:r>
        <w:rPr>
          <w:b/>
        </w:rPr>
        <w:t xml:space="preserve">Final Score: </w:t>
      </w:r>
      <w:r>
        <w:t>38.3/100</w:t>
      </w:r>
    </w:p>
    <w:p/>
    <w:p>
      <w:pPr>
        <w:jc w:val="left"/>
      </w:pPr>
      <w:r>
        <w:rPr>
          <w:b/>
          <w:color w:val="1B3A6B"/>
          <w:sz w:val="24"/>
          <w:u w:val="single"/>
        </w:rPr>
        <w:t>SECONDARY RESEARCH INTELLIGENCE</w:t>
      </w:r>
    </w:p>
    <w:p/>
    <w:p>
      <w:r>
        <w:rPr>
          <w:b/>
        </w:rPr>
        <w:t xml:space="preserve">Company News: </w:t>
      </w:r>
      <w:r>
        <w:t>NOVA RETAILMART shows strong positive momentum, with substantial revenue growth and improved same-store sales in FY2025. ICRA projects continued financial performance improvement.</w:t>
      </w:r>
    </w:p>
    <w:p/>
    <w:p>
      <w:r>
        <w:rPr>
          <w:b/>
        </w:rPr>
        <w:t xml:space="preserve">Promoter Background: </w:t>
      </w:r>
      <w:r>
        <w:t>No specific adverse information was found regarding the promoter P. Sethi, including no mentions of wilful default, criminal cases, or SFIO investigations. General comments on wilful defaulters in news are not linked to P. Sethi.</w:t>
      </w:r>
    </w:p>
    <w:p/>
    <w:p>
      <w:r>
        <w:rPr>
          <w:b/>
        </w:rPr>
        <w:t xml:space="preserve">Sector Headwinds: </w:t>
      </w:r>
      <w:r>
        <w:t>NOVA RETAILMART operates in the retail sector, showing positive company-specific growth signals. While general financial sector regulatory changes (like RBI's ECB framework) are ongoing, no direct sector-specific headwinds or restrictions adversely affecting NOVA RETAILMART are identified. The company's internal performance suggests a stable sector for its operations.</w:t>
      </w:r>
    </w:p>
    <w:p/>
    <w:p>
      <w:r>
        <w:rPr>
          <w:b/>
        </w:rPr>
        <w:t xml:space="preserve">Litigation: </w:t>
      </w:r>
      <w:r>
        <w:t>No legal disputes, NCLT proceedings (including IBC-CIRP), DRT cases, or arbitration cases were found against NOVA RETAILMART. The NCLT references provided relate to other unrelated companies.</w:t>
      </w:r>
    </w:p>
    <w:p/>
    <w:p>
      <w:r>
        <w:rPr>
          <w:b/>
        </w:rPr>
        <w:t xml:space="preserve">Regulatory: </w:t>
      </w:r>
      <w:r>
        <w:t>No specific SEBI actions, RBI issues (licensing, penalties, or directions), or MCA defaults were identified for NOVA RETAILMART. General regulatory updates regarding RBI's proposed ECB framework changes are noted but do not indicate an issue for the company.</w:t>
      </w:r>
    </w:p>
    <w:p/>
    <w:p>
      <w:r>
        <w:rPr>
          <w:b/>
        </w:rPr>
        <w:t xml:space="preserve">MCA Signals: </w:t>
      </w:r>
      <w:r>
        <w:t>No MCA-related red flags such as director disqualification, filing defaults, pending charge satisfactions, or ROC notices were identified for NOVA RETAILMART based on the provided intelligence. The sources merely explain MCA compliance procedures.</w:t>
      </w:r>
    </w:p>
    <w:p/>
    <w:p>
      <w:r>
        <w:rPr>
          <w:b/>
        </w:rPr>
        <w:t xml:space="preserve">Overall Research Rating: </w:t>
      </w:r>
      <w:r>
        <w:t>A — Strong Proceed</w:t>
      </w:r>
    </w:p>
    <w:p>
      <w:r>
        <w:rPr>
          <w:b/>
        </w:rPr>
        <w:t xml:space="preserve">Top Risks Identified: </w:t>
      </w:r>
      <w:r>
        <w:t>Limited comprehensive financial data available for in-depth analysis.; Lack of detailed promoter background information beyond general statements.; Absence of specific sector-wide risk assessment for the retail segment.</w:t>
      </w:r>
    </w:p>
    <w:p/>
    <w:p>
      <w:pPr>
        <w:jc w:val="left"/>
      </w:pPr>
      <w:r>
        <w:rPr>
          <w:b/>
          <w:color w:val="1B3A6B"/>
          <w:sz w:val="24"/>
          <w:u w:val="single"/>
        </w:rPr>
        <w:t>CROSS-DOCUMENT FRAUD INTELLIGENCE</w:t>
      </w:r>
    </w:p>
    <w:p/>
    <w:p>
      <w:r>
        <w:rPr>
          <w:b/>
        </w:rPr>
        <w:t xml:space="preserve">Documents Compared: </w:t>
      </w:r>
      <w:r>
        <w:t>gst_filing, bank_statement, cibil_report</w:t>
      </w:r>
    </w:p>
    <w:p>
      <w:r>
        <w:rPr>
          <w:b/>
        </w:rPr>
        <w:t xml:space="preserve">Circular Trading Risk: </w:t>
      </w:r>
      <w:r>
        <w:t>Medium</w:t>
      </w:r>
    </w:p>
    <w:p>
      <w:r>
        <w:rPr>
          <w:b/>
        </w:rPr>
        <w:t xml:space="preserve">Revenue Inflation Risk: </w:t>
      </w:r>
      <w:r>
        <w:t>Low</w:t>
      </w:r>
    </w:p>
    <w:p/>
    <w:p>
      <w:r>
        <w:rPr>
          <w:b/>
        </w:rPr>
        <w:t>⚠ Flags Detected:</w:t>
      </w:r>
    </w:p>
    <w:p>
      <w:pPr>
        <w:pStyle w:val="ListBullet"/>
      </w:pPr>
      <w:r>
        <w:rPr>
          <w:b/>
        </w:rPr>
        <w:t xml:space="preserve">[HIGH] FAKE_ITC_RISK: </w:t>
      </w:r>
      <w:r>
        <w:t>GSTR-2A ITC (52.1 Cr) vs GSTR-3B ITC claimed (68.5 Cr) — 31.5% mismatch. Possible fake Input Tax Credit.</w:t>
      </w:r>
    </w:p>
    <w:p/>
    <w:p>
      <w:pPr>
        <w:jc w:val="left"/>
      </w:pPr>
      <w:r>
        <w:rPr>
          <w:b/>
          <w:color w:val="1B3A6B"/>
          <w:sz w:val="24"/>
          <w:u w:val="single"/>
        </w:rPr>
        <w:t>CREDIT OFFICER FIELD OBSERVATIONS</w:t>
      </w:r>
    </w:p>
    <w:p/>
    <w:p>
      <w:r>
        <w:rPr>
          <w:i/>
        </w:rPr>
        <w:t>Promoter's other group companies have faced NCLT insolvency proceedings.</w:t>
        <w:br/>
        <w:t>One supplier mentioned payment delays of 120+ days.</w:t>
      </w:r>
    </w:p>
    <w:p/>
    <w:p>
      <w:pPr>
        <w:jc w:val="left"/>
      </w:pPr>
      <w:r>
        <w:rPr>
          <w:b/>
          <w:color w:val="1B3A6B"/>
          <w:sz w:val="24"/>
          <w:u w:val="single"/>
        </w:rPr>
        <w:t>FINAL RECOMMENDATION</w:t>
      </w:r>
    </w:p>
    <w:p/>
    <w:tbl>
      <w:tblPr>
        <w:tblW w:type="auto" w:w="0"/>
        <w:tblLook w:firstColumn="1" w:firstRow="1" w:lastColumn="0" w:lastRow="0" w:noHBand="0" w:noVBand="1" w:val="04A0"/>
      </w:tblPr>
      <w:tblGrid>
        <w:gridCol w:w="9972"/>
      </w:tblGrid>
      <w:tr>
        <w:tc>
          <w:tcPr>
            <w:tcW w:type="dxa" w:w="9972"/>
            <w:shd w:val="clear" w:color="auto" w:fill="D68910"/>
          </w:tcPr>
          <w:p>
            <w:pPr>
              <w:jc w:val="center"/>
            </w:pPr>
            <w:r>
              <w:rPr>
                <w:b/>
                <w:color w:val="FFFFFF"/>
                <w:sz w:val="28"/>
              </w:rPr>
              <w:t>RECOMMENDATION: CONDITIONAL_APPROVE</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E8F0FA"/>
          </w:tcPr>
          <w:p>
            <w:r>
              <w:rPr>
                <w:b/>
              </w:rPr>
              <w:t>Decision</w:t>
            </w:r>
          </w:p>
        </w:tc>
        <w:tc>
          <w:tcPr>
            <w:tcW w:type="dxa" w:w="4986"/>
          </w:tcPr>
          <w:p>
            <w:r>
              <w:t>CONDITIONAL_APPROVE</w:t>
            </w:r>
          </w:p>
        </w:tc>
      </w:tr>
      <w:tr>
        <w:tc>
          <w:tcPr>
            <w:tcW w:type="dxa" w:w="4986"/>
            <w:shd w:val="clear" w:color="auto" w:fill="E8F0FA"/>
          </w:tcPr>
          <w:p>
            <w:r>
              <w:rPr>
                <w:b/>
              </w:rPr>
              <w:t>Credit Rating</w:t>
            </w:r>
          </w:p>
        </w:tc>
        <w:tc>
          <w:tcPr>
            <w:tcW w:type="dxa" w:w="4986"/>
          </w:tcPr>
          <w:p>
            <w:r>
              <w:t>B</w:t>
            </w:r>
          </w:p>
        </w:tc>
      </w:tr>
      <w:tr>
        <w:tc>
          <w:tcPr>
            <w:tcW w:type="dxa" w:w="4986"/>
            <w:shd w:val="clear" w:color="auto" w:fill="E8F0FA"/>
          </w:tcPr>
          <w:p>
            <w:r>
              <w:rPr>
                <w:b/>
              </w:rPr>
              <w:t>Credit Score</w:t>
            </w:r>
          </w:p>
        </w:tc>
        <w:tc>
          <w:tcPr>
            <w:tcW w:type="dxa" w:w="4986"/>
          </w:tcPr>
          <w:p>
            <w:r>
              <w:t>57.16/100</w:t>
            </w:r>
          </w:p>
        </w:tc>
      </w:tr>
      <w:tr>
        <w:tc>
          <w:tcPr>
            <w:tcW w:type="dxa" w:w="4986"/>
            <w:shd w:val="clear" w:color="auto" w:fill="E8F0FA"/>
          </w:tcPr>
          <w:p>
            <w:r>
              <w:rPr>
                <w:b/>
              </w:rPr>
              <w:t>Recommended Amount</w:t>
            </w:r>
          </w:p>
        </w:tc>
        <w:tc>
          <w:tcPr>
            <w:tcW w:type="dxa" w:w="4986"/>
          </w:tcPr>
          <w:p>
            <w:r>
              <w:t>₹10 Cr</w:t>
            </w:r>
          </w:p>
        </w:tc>
      </w:tr>
      <w:tr>
        <w:tc>
          <w:tcPr>
            <w:tcW w:type="dxa" w:w="4986"/>
            <w:shd w:val="clear" w:color="auto" w:fill="E8F0FA"/>
          </w:tcPr>
          <w:p>
            <w:r>
              <w:rPr>
                <w:b/>
              </w:rPr>
              <w:t>Interest Rate</w:t>
            </w:r>
          </w:p>
        </w:tc>
        <w:tc>
          <w:tcPr>
            <w:tcW w:type="dxa" w:w="4986"/>
          </w:tcPr>
          <w:p>
            <w:r>
              <w:t>15.5%</w:t>
            </w:r>
          </w:p>
        </w:tc>
      </w:tr>
      <w:tr>
        <w:tc>
          <w:tcPr>
            <w:tcW w:type="dxa" w:w="4986"/>
            <w:shd w:val="clear" w:color="auto" w:fill="E8F0FA"/>
          </w:tcPr>
          <w:p>
            <w:r>
              <w:rPr>
                <w:b/>
              </w:rPr>
              <w:t>Tenure</w:t>
            </w:r>
          </w:p>
        </w:tc>
        <w:tc>
          <w:tcPr>
            <w:tcW w:type="dxa" w:w="4986"/>
          </w:tcPr>
          <w:p>
            <w:r>
              <w:t>12 months</w:t>
            </w:r>
          </w:p>
        </w:tc>
      </w:tr>
    </w:tbl>
    <w:p/>
    <w:p>
      <w:r>
        <w:rPr>
          <w:b/>
        </w:rPr>
        <w:t xml:space="preserve">Rationale: </w:t>
      </w:r>
      <w:r>
        <w:t>Blended score 57.16/100 with rating B. Five-Cs weighted score after penalties: 38.3. Entity type assessed as corporate. Recommendation is CONDITIONAL_APPROVE based on calibrated thresholds and policy floors.</w:t>
      </w:r>
    </w:p>
    <w:p/>
    <w:p>
      <w:r>
        <w:rPr>
          <w:i/>
          <w:sz w:val="16"/>
        </w:rPr>
        <w:t>Disclaimer: This Credit Appraisal Memo has been prepared using AI-assisted analysis by Intelli-Credit (DOMINIX). All recommendations are subject to review and approval by authorized credit officers as per Vivriti Capital's credit policy.</w:t>
      </w:r>
    </w:p>
    <w:p/>
    <w:p>
      <w:pPr>
        <w:jc w:val="center"/>
      </w:pPr>
      <w:r>
        <w:rPr>
          <w:color w:val="1B3A6B"/>
          <w:sz w:val="16"/>
        </w:rPr>
        <w:t>Intelli-Credit by DOMINIX  ·  Vivriti Capital Hackathon 2026  ·  Generated: 09 Mar 2026 19:04</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