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8C"/>
          <w:sz w:val="32"/>
        </w:rPr>
        <w:t>VIVRITI CAPITAL LIMITED</w:t>
      </w:r>
    </w:p>
    <w:p>
      <w:pPr>
        <w:jc w:val="center"/>
      </w:pPr>
      <w:r>
        <w:rPr>
          <w:b/>
          <w:sz w:val="26"/>
        </w:rPr>
        <w:t>Credit Appraisal Memorandum (CAM)</w:t>
      </w:r>
    </w:p>
    <w:p>
      <w:pPr>
        <w:pBdr>
          <w:bottom w:val="single" w:sz="6" w:space="1" w:color="1F3864"/>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rPr>
              <w:t>Company Name</w:t>
            </w:r>
          </w:p>
        </w:tc>
        <w:tc>
          <w:tcPr>
            <w:tcW w:type="dxa" w:w="2351"/>
          </w:tcPr>
          <w:p>
            <w:r>
              <w:t>Tata Motors Limited</w:t>
            </w:r>
          </w:p>
        </w:tc>
        <w:tc>
          <w:tcPr>
            <w:tcW w:type="dxa" w:w="2351"/>
            <w:shd w:val="clear" w:color="auto" w:fill="E8F0FE"/>
          </w:tcPr>
          <w:p>
            <w:r>
              <w:rPr>
                <w:b/>
              </w:rPr>
              <w:t>Date</w:t>
            </w:r>
          </w:p>
        </w:tc>
        <w:tc>
          <w:tcPr>
            <w:tcW w:type="dxa" w:w="2351"/>
          </w:tcPr>
          <w:p>
            <w:r>
              <w:t>06-Mar-2026</w:t>
            </w:r>
          </w:p>
        </w:tc>
      </w:tr>
      <w:tr>
        <w:tc>
          <w:tcPr>
            <w:tcW w:type="dxa" w:w="2351"/>
            <w:shd w:val="clear" w:color="auto" w:fill="E8F0FE"/>
          </w:tcPr>
          <w:p>
            <w:r>
              <w:rPr>
                <w:b/>
              </w:rPr>
              <w:t>Loan Amount</w:t>
            </w:r>
          </w:p>
        </w:tc>
        <w:tc>
          <w:tcPr>
            <w:tcW w:type="dxa" w:w="2351"/>
          </w:tcPr>
          <w:p>
            <w:r>
              <w:t>₹500 crores</w:t>
            </w:r>
          </w:p>
        </w:tc>
        <w:tc>
          <w:tcPr>
            <w:tcW w:type="dxa" w:w="2351"/>
            <w:shd w:val="clear" w:color="auto" w:fill="E8F0FE"/>
          </w:tcPr>
          <w:p>
            <w:r>
              <w:rPr>
                <w:b/>
              </w:rPr>
              <w:t>Purpose</w:t>
            </w:r>
          </w:p>
        </w:tc>
        <w:tc>
          <w:tcPr>
            <w:tcW w:type="dxa" w:w="2351"/>
          </w:tcPr>
          <w:p>
            <w:r>
              <w:t>Working capital  Expansion</w:t>
            </w:r>
          </w:p>
        </w:tc>
      </w:tr>
    </w:tbl>
    <w:p/>
    <w:p>
      <w:pPr>
        <w:spacing w:before="240" w:after="120"/>
      </w:pPr>
      <w:r>
        <w:rPr>
          <w:b/>
          <w:color w:val="1F3864"/>
          <w:sz w:val="24"/>
        </w:rPr>
        <w:t>1. EXECUTIVE SUMMARY</w:t>
      </w:r>
    </w:p>
    <w:p>
      <w:r>
        <w:t>Tata Motors Limited, a prominent player in the automotive industry, has requested a working capital expansion loan of ₹500 crores. The company exhibits robust financial health, demonstrated by a 1.3% revenue growth to ₹439,695 crores, a strong EBITDA of ₹57,600 crores (13.1% margin), and a very healthy Debt-to-Equity ratio of 0.6. Promoters maintain an excellent reputation, and the company has successfully undertaken strategic corporate restructuring. While minor regulatory non-compliances and data security concerns have been noted, these have been addressed, and the overall risk profile remains low. Given the company's strong financial standing, operational efficiency, and experienced management, the credit request is recommended for approval.</w:t>
      </w:r>
    </w:p>
    <w:p>
      <w:pPr>
        <w:jc w:val="center"/>
        <w:shd w:val="clear" w:color="auto" w:fill="FF8C00"/>
      </w:pPr>
      <w:r>
        <w:rPr>
          <w:b/>
          <w:color w:val="FFFFFF"/>
          <w:sz w:val="24"/>
        </w:rPr>
        <w:t xml:space="preserve">  RECOMMENDATION: CONDITIONAL_APPROVE  </w:t>
      </w:r>
    </w:p>
    <w:p/>
    <w:p>
      <w:pPr>
        <w:spacing w:before="240" w:after="120"/>
      </w:pPr>
      <w:r>
        <w:rPr>
          <w:b/>
          <w:color w:val="1F3864"/>
          <w:sz w:val="24"/>
        </w:rPr>
        <w:t>2. COMPANY BACKGROUND</w:t>
      </w:r>
    </w:p>
    <w:p>
      <w:r>
        <w:t>Tata Motors Limited operates in the automotive sector, encompassing a diverse portfolio of vehicles. The company is led by an experienced board of directors, including Mr. N Chandrasekaran and Mr. Om Prakash Bhatt. Promoters are reputed for their strong corporate governance and ethical standards, with no adverse findings regarding criminal cases or wilful defaulter status. Recently, the company received NCLT approval for a Composite Scheme of Arrangement, signifying a major corporate restructuring involving the demerger of its commercial vehicles business and amalgamation of its passenger vehicles arm, aimed at enhancing operational focus and shareholder value.</w:t>
      </w:r>
    </w:p>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Details</w:t>
            </w:r>
          </w:p>
        </w:tc>
      </w:tr>
      <w:tr>
        <w:tc>
          <w:tcPr>
            <w:tcW w:type="dxa" w:w="4703"/>
            <w:shd w:val="clear" w:color="auto" w:fill="E8F0FE"/>
          </w:tcPr>
          <w:p>
            <w:r>
              <w:rPr>
                <w:b/>
              </w:rPr>
              <w:t>Company Name</w:t>
            </w:r>
          </w:p>
        </w:tc>
        <w:tc>
          <w:tcPr>
            <w:tcW w:type="dxa" w:w="4703"/>
          </w:tcPr>
          <w:p>
            <w:r>
              <w:t>Tata Motors</w:t>
            </w:r>
          </w:p>
        </w:tc>
      </w:tr>
      <w:tr>
        <w:tc>
          <w:tcPr>
            <w:tcW w:type="dxa" w:w="4703"/>
            <w:shd w:val="clear" w:color="auto" w:fill="E8F0FE"/>
          </w:tcPr>
          <w:p>
            <w:r>
              <w:rPr>
                <w:b/>
              </w:rPr>
              <w:t>CIN</w:t>
            </w:r>
          </w:p>
        </w:tc>
        <w:tc>
          <w:tcPr>
            <w:tcW w:type="dxa" w:w="4703"/>
          </w:tcPr>
          <w:p>
            <w:r>
              <w:t>N/A</w:t>
            </w:r>
          </w:p>
        </w:tc>
      </w:tr>
      <w:tr>
        <w:tc>
          <w:tcPr>
            <w:tcW w:type="dxa" w:w="4703"/>
            <w:shd w:val="clear" w:color="auto" w:fill="E8F0FE"/>
          </w:tcPr>
          <w:p>
            <w:r>
              <w:rPr>
                <w:b/>
              </w:rPr>
              <w:t>Registered Address</w:t>
            </w:r>
          </w:p>
        </w:tc>
        <w:tc>
          <w:tcPr>
            <w:tcW w:type="dxa" w:w="4703"/>
          </w:tcPr>
          <w:p>
            <w:r>
              <w:t>N/A</w:t>
            </w:r>
          </w:p>
        </w:tc>
      </w:tr>
      <w:tr>
        <w:tc>
          <w:tcPr>
            <w:tcW w:type="dxa" w:w="4703"/>
            <w:shd w:val="clear" w:color="auto" w:fill="E8F0FE"/>
          </w:tcPr>
          <w:p>
            <w:r>
              <w:rPr>
                <w:b/>
              </w:rPr>
              <w:t>Nature of Business</w:t>
            </w:r>
          </w:p>
        </w:tc>
        <w:tc>
          <w:tcPr>
            <w:tcW w:type="dxa" w:w="4703"/>
          </w:tcPr>
          <w:p>
            <w:r>
              <w:t>Automotive</w:t>
            </w:r>
          </w:p>
        </w:tc>
      </w:tr>
      <w:tr>
        <w:tc>
          <w:tcPr>
            <w:tcW w:type="dxa" w:w="4703"/>
            <w:shd w:val="clear" w:color="auto" w:fill="E8F0FE"/>
          </w:tcPr>
          <w:p>
            <w:r>
              <w:rPr>
                <w:b/>
              </w:rPr>
              <w:t>Year of Incorporation</w:t>
            </w:r>
          </w:p>
        </w:tc>
        <w:tc>
          <w:tcPr>
            <w:tcW w:type="dxa" w:w="4703"/>
          </w:tcPr>
          <w:p>
            <w:r>
              <w:t>None</w:t>
            </w:r>
          </w:p>
        </w:tc>
      </w:tr>
      <w:tr>
        <w:tc>
          <w:tcPr>
            <w:tcW w:type="dxa" w:w="4703"/>
            <w:shd w:val="clear" w:color="auto" w:fill="E8F0FE"/>
          </w:tcPr>
          <w:p>
            <w:r>
              <w:rPr>
                <w:b/>
              </w:rPr>
              <w:t>Directors/Promoters</w:t>
            </w:r>
          </w:p>
        </w:tc>
        <w:tc>
          <w:tcPr>
            <w:tcW w:type="dxa" w:w="4703"/>
          </w:tcPr>
          <w:p>
            <w:r>
              <w:t>Mr. N Chandrasekaran, Mr. Om Prakash Bhatt, Ms. Hanne Sorensen, Ms. Vedika Bhandarkar, Mr. Kosaraju V Chowdary, Mr. Al-Noor Ramji</w:t>
            </w:r>
          </w:p>
        </w:tc>
      </w:tr>
    </w:tbl>
    <w:p/>
    <w:p>
      <w:pPr>
        <w:spacing w:before="240" w:after="120"/>
      </w:pPr>
      <w:r>
        <w:rPr>
          <w:b/>
          <w:color w:val="1F3864"/>
          <w:sz w:val="24"/>
        </w:rPr>
        <w:t>3. FINANCIAL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Financial Metric</w:t>
            </w:r>
          </w:p>
        </w:tc>
        <w:tc>
          <w:tcPr>
            <w:tcW w:type="dxa" w:w="3135"/>
            <w:shd w:val="clear" w:color="auto" w:fill="1F3864"/>
          </w:tcPr>
          <w:p>
            <w:r>
              <w:rPr>
                <w:b/>
                <w:color w:val="FFFFFF"/>
              </w:rPr>
              <w:t>Current Year (₹ Cr)</w:t>
            </w:r>
          </w:p>
        </w:tc>
        <w:tc>
          <w:tcPr>
            <w:tcW w:type="dxa" w:w="3135"/>
            <w:shd w:val="clear" w:color="auto" w:fill="1F3864"/>
          </w:tcPr>
          <w:p>
            <w:r>
              <w:rPr>
                <w:b/>
                <w:color w:val="FFFFFF"/>
              </w:rPr>
              <w:t>Assessment</w:t>
            </w:r>
          </w:p>
        </w:tc>
      </w:tr>
      <w:tr>
        <w:tc>
          <w:tcPr>
            <w:tcW w:type="dxa" w:w="3135"/>
            <w:shd w:val="clear" w:color="auto" w:fill="E8F0FE"/>
          </w:tcPr>
          <w:p>
            <w:r>
              <w:rPr>
                <w:b/>
              </w:rPr>
              <w:t>Total Revenue/Turnover</w:t>
            </w:r>
          </w:p>
        </w:tc>
        <w:tc>
          <w:tcPr>
            <w:tcW w:type="dxa" w:w="3135"/>
          </w:tcPr>
          <w:p>
            <w:pPr>
              <w:jc w:val="center"/>
            </w:pPr>
            <w:r>
              <w:t>439695</w:t>
            </w:r>
          </w:p>
        </w:tc>
        <w:tc>
          <w:tcPr>
            <w:tcW w:type="dxa" w:w="3135"/>
          </w:tcPr>
          <w:p>
            <w:r>
              <w:t>Large</w:t>
            </w:r>
          </w:p>
        </w:tc>
      </w:tr>
      <w:tr>
        <w:tc>
          <w:tcPr>
            <w:tcW w:type="dxa" w:w="3135"/>
            <w:shd w:val="clear" w:color="auto" w:fill="E8F0FE"/>
          </w:tcPr>
          <w:p>
            <w:r>
              <w:rPr>
                <w:b/>
              </w:rPr>
              <w:t>EBITDA</w:t>
            </w:r>
          </w:p>
        </w:tc>
        <w:tc>
          <w:tcPr>
            <w:tcW w:type="dxa" w:w="3135"/>
          </w:tcPr>
          <w:p>
            <w:pPr>
              <w:jc w:val="center"/>
            </w:pPr>
            <w:r>
              <w:t>57600</w:t>
            </w:r>
          </w:p>
        </w:tc>
        <w:tc>
          <w:tcPr>
            <w:tcW w:type="dxa" w:w="3135"/>
          </w:tcPr>
          <w:p>
            <w:r>
              <w:t>Strong</w:t>
            </w:r>
          </w:p>
        </w:tc>
      </w:tr>
      <w:tr>
        <w:tc>
          <w:tcPr>
            <w:tcW w:type="dxa" w:w="3135"/>
            <w:shd w:val="clear" w:color="auto" w:fill="E8F0FE"/>
          </w:tcPr>
          <w:p>
            <w:r>
              <w:rPr>
                <w:b/>
              </w:rPr>
              <w:t>PAT (Profit After Tax)</w:t>
            </w:r>
          </w:p>
        </w:tc>
        <w:tc>
          <w:tcPr>
            <w:tcW w:type="dxa" w:w="3135"/>
          </w:tcPr>
          <w:p>
            <w:pPr>
              <w:jc w:val="center"/>
            </w:pPr>
            <w:r>
              <w:t>28149</w:t>
            </w:r>
          </w:p>
        </w:tc>
        <w:tc>
          <w:tcPr>
            <w:tcW w:type="dxa" w:w="3135"/>
          </w:tcPr>
          <w:p>
            <w:r>
              <w:t>Profitable</w:t>
            </w:r>
          </w:p>
        </w:tc>
      </w:tr>
      <w:tr>
        <w:tc>
          <w:tcPr>
            <w:tcW w:type="dxa" w:w="3135"/>
            <w:shd w:val="clear" w:color="auto" w:fill="E8F0FE"/>
          </w:tcPr>
          <w:p>
            <w:r>
              <w:rPr>
                <w:b/>
              </w:rPr>
              <w:t>Total Assets</w:t>
            </w:r>
          </w:p>
        </w:tc>
        <w:tc>
          <w:tcPr>
            <w:tcW w:type="dxa" w:w="3135"/>
          </w:tcPr>
          <w:p>
            <w:pPr>
              <w:jc w:val="center"/>
            </w:pPr>
            <w:r>
              <w:t>N/A</w:t>
            </w:r>
          </w:p>
        </w:tc>
        <w:tc>
          <w:tcPr>
            <w:tcW w:type="dxa" w:w="3135"/>
          </w:tcPr>
          <w:p>
            <w:r>
              <w:t>—</w:t>
            </w:r>
          </w:p>
        </w:tc>
      </w:tr>
      <w:tr>
        <w:tc>
          <w:tcPr>
            <w:tcW w:type="dxa" w:w="3135"/>
            <w:shd w:val="clear" w:color="auto" w:fill="E8F0FE"/>
          </w:tcPr>
          <w:p>
            <w:r>
              <w:rPr>
                <w:b/>
              </w:rPr>
              <w:t>Net Worth / Equity</w:t>
            </w:r>
          </w:p>
        </w:tc>
        <w:tc>
          <w:tcPr>
            <w:tcW w:type="dxa" w:w="3135"/>
          </w:tcPr>
          <w:p>
            <w:pPr>
              <w:jc w:val="center"/>
            </w:pPr>
            <w:r>
              <w:t>N/A</w:t>
            </w:r>
          </w:p>
        </w:tc>
        <w:tc>
          <w:tcPr>
            <w:tcW w:type="dxa" w:w="3135"/>
          </w:tcPr>
          <w:p>
            <w:r>
              <w:t>N/A</w:t>
            </w:r>
          </w:p>
        </w:tc>
      </w:tr>
      <w:tr>
        <w:tc>
          <w:tcPr>
            <w:tcW w:type="dxa" w:w="3135"/>
            <w:shd w:val="clear" w:color="auto" w:fill="E8F0FE"/>
          </w:tcPr>
          <w:p>
            <w:r>
              <w:rPr>
                <w:b/>
              </w:rPr>
              <w:t>Total Debt / Borrowings</w:t>
            </w:r>
          </w:p>
        </w:tc>
        <w:tc>
          <w:tcPr>
            <w:tcW w:type="dxa" w:w="3135"/>
          </w:tcPr>
          <w:p>
            <w:pPr>
              <w:jc w:val="center"/>
            </w:pPr>
            <w:r>
              <w:t>N/A</w:t>
            </w:r>
          </w:p>
        </w:tc>
        <w:tc>
          <w:tcPr>
            <w:tcW w:type="dxa" w:w="3135"/>
          </w:tcPr>
          <w:p>
            <w:r>
              <w:t>—</w:t>
            </w:r>
          </w:p>
        </w:tc>
      </w:tr>
      <w:tr>
        <w:tc>
          <w:tcPr>
            <w:tcW w:type="dxa" w:w="3135"/>
            <w:shd w:val="clear" w:color="auto" w:fill="E8F0FE"/>
          </w:tcPr>
          <w:p>
            <w:r>
              <w:rPr>
                <w:b/>
              </w:rPr>
              <w:t>Current Ratio</w:t>
            </w:r>
          </w:p>
        </w:tc>
        <w:tc>
          <w:tcPr>
            <w:tcW w:type="dxa" w:w="3135"/>
          </w:tcPr>
          <w:p>
            <w:pPr>
              <w:jc w:val="center"/>
            </w:pPr>
            <w:r>
              <w:t>N/A</w:t>
            </w:r>
          </w:p>
        </w:tc>
        <w:tc>
          <w:tcPr>
            <w:tcW w:type="dxa" w:w="3135"/>
          </w:tcPr>
          <w:p>
            <w:r>
              <w:t>N/A</w:t>
            </w:r>
          </w:p>
        </w:tc>
      </w:tr>
      <w:tr>
        <w:tc>
          <w:tcPr>
            <w:tcW w:type="dxa" w:w="3135"/>
            <w:shd w:val="clear" w:color="auto" w:fill="E8F0FE"/>
          </w:tcPr>
          <w:p>
            <w:r>
              <w:rPr>
                <w:b/>
              </w:rPr>
              <w:t>Debt to Equity</w:t>
            </w:r>
          </w:p>
        </w:tc>
        <w:tc>
          <w:tcPr>
            <w:tcW w:type="dxa" w:w="3135"/>
          </w:tcPr>
          <w:p>
            <w:pPr>
              <w:jc w:val="center"/>
            </w:pPr>
            <w:r>
              <w:t>0.6</w:t>
            </w:r>
          </w:p>
        </w:tc>
        <w:tc>
          <w:tcPr>
            <w:tcW w:type="dxa" w:w="3135"/>
          </w:tcPr>
          <w:p>
            <w:r>
              <w:t>Conservative</w:t>
            </w:r>
          </w:p>
        </w:tc>
      </w:tr>
    </w:tbl>
    <w:p/>
    <w:p>
      <w:pPr>
        <w:spacing w:before="240" w:after="120"/>
      </w:pPr>
      <w:r>
        <w:rPr>
          <w:b/>
          <w:color w:val="1F3864"/>
          <w:sz w:val="24"/>
        </w:rPr>
        <w:t>4. FIVE Cs CREDIT 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Credit Factor</w:t>
            </w:r>
          </w:p>
        </w:tc>
        <w:tc>
          <w:tcPr>
            <w:tcW w:type="dxa" w:w="2351"/>
            <w:shd w:val="clear" w:color="auto" w:fill="1F3864"/>
          </w:tcPr>
          <w:p>
            <w:r>
              <w:rPr>
                <w:b/>
                <w:color w:val="FFFFFF"/>
              </w:rPr>
              <w:t>Score (0-100)</w:t>
            </w:r>
          </w:p>
        </w:tc>
        <w:tc>
          <w:tcPr>
            <w:tcW w:type="dxa" w:w="2351"/>
            <w:shd w:val="clear" w:color="auto" w:fill="1F3864"/>
          </w:tcPr>
          <w:p>
            <w:r>
              <w:rPr>
                <w:b/>
                <w:color w:val="FFFFFF"/>
              </w:rPr>
              <w:t>Weight</w:t>
            </w:r>
          </w:p>
        </w:tc>
        <w:tc>
          <w:tcPr>
            <w:tcW w:type="dxa" w:w="2351"/>
            <w:shd w:val="clear" w:color="auto" w:fill="1F3864"/>
          </w:tcPr>
          <w:p>
            <w:r>
              <w:rPr>
                <w:b/>
                <w:color w:val="FFFFFF"/>
              </w:rPr>
              <w:t>Rationale</w:t>
            </w:r>
          </w:p>
        </w:tc>
      </w:tr>
      <w:tr>
        <w:tc>
          <w:tcPr>
            <w:tcW w:type="dxa" w:w="2351"/>
            <w:shd w:val="clear" w:color="auto" w:fill="E8F0FE"/>
          </w:tcPr>
          <w:p>
            <w:r>
              <w:rPr>
                <w:b/>
              </w:rPr>
              <w:t>Character</w:t>
            </w:r>
          </w:p>
        </w:tc>
        <w:tc>
          <w:tcPr>
            <w:tcW w:type="dxa" w:w="2351"/>
            <w:shd w:val="clear" w:color="auto" w:fill="C6EFCE"/>
          </w:tcPr>
          <w:p>
            <w:pPr>
              <w:jc w:val="center"/>
            </w:pPr>
            <w:r>
              <w:t>90</w:t>
            </w:r>
          </w:p>
        </w:tc>
        <w:tc>
          <w:tcPr>
            <w:tcW w:type="dxa" w:w="2351"/>
          </w:tcPr>
          <w:p>
            <w:pPr>
              <w:jc w:val="center"/>
            </w:pPr>
            <w:r>
              <w:t>25%</w:t>
            </w:r>
          </w:p>
        </w:tc>
        <w:tc>
          <w:tcPr>
            <w:tcW w:type="dxa" w:w="2351"/>
          </w:tcPr>
          <w:p>
            <w:r>
              <w:t>The promoters, including Mr. N Chandrasekaran, have an excellent 'Good' reputation with no criminal cases, wilful defaulter status, or major adverse findings. Management quality is strong, as evidenced by strategic corporate restructuring like the NCLT-approved demerger. Minor regulatory non-compliances (SEBI settlement for a subsidiary, RBI compounding fee) are noted but do not significantly detract from the overall strong character, especially given the company's scale and prompt resolution.</w:t>
            </w:r>
          </w:p>
        </w:tc>
      </w:tr>
      <w:tr>
        <w:tc>
          <w:tcPr>
            <w:tcW w:type="dxa" w:w="2351"/>
            <w:shd w:val="clear" w:color="auto" w:fill="E8F0FE"/>
          </w:tcPr>
          <w:p>
            <w:r>
              <w:rPr>
                <w:b/>
              </w:rPr>
              <w:t>Capacity</w:t>
            </w:r>
          </w:p>
        </w:tc>
        <w:tc>
          <w:tcPr>
            <w:tcW w:type="dxa" w:w="2351"/>
            <w:shd w:val="clear" w:color="auto" w:fill="C6EFCE"/>
          </w:tcPr>
          <w:p>
            <w:pPr>
              <w:jc w:val="center"/>
            </w:pPr>
            <w:r>
              <w:t>85</w:t>
            </w:r>
          </w:p>
        </w:tc>
        <w:tc>
          <w:tcPr>
            <w:tcW w:type="dxa" w:w="2351"/>
          </w:tcPr>
          <w:p>
            <w:pPr>
              <w:jc w:val="center"/>
            </w:pPr>
            <w:r>
              <w:t>30%</w:t>
            </w:r>
          </w:p>
        </w:tc>
        <w:tc>
          <w:tcPr>
            <w:tcW w:type="dxa" w:w="2351"/>
          </w:tcPr>
          <w:p>
            <w:r>
              <w:t>Tata Motors demonstrates strong repayment capacity with stable to slightly growing revenue (1.3% increase). The EBITDA margin of 13.1% (57600 / 439695) is healthy, showcasing robust operational profitability. While a direct Debt Service Coverage Ratio (DSCR) calculation is not possible with the provided data, the substantial EBITDA and PAT figures indicate strong operational cash generation sufficient to service existing and potential debt obligations.</w:t>
            </w:r>
          </w:p>
        </w:tc>
      </w:tr>
      <w:tr>
        <w:tc>
          <w:tcPr>
            <w:tcW w:type="dxa" w:w="2351"/>
            <w:shd w:val="clear" w:color="auto" w:fill="E8F0FE"/>
          </w:tcPr>
          <w:p>
            <w:r>
              <w:rPr>
                <w:b/>
              </w:rPr>
              <w:t>Capital</w:t>
            </w:r>
          </w:p>
        </w:tc>
        <w:tc>
          <w:tcPr>
            <w:tcW w:type="dxa" w:w="2351"/>
            <w:shd w:val="clear" w:color="auto" w:fill="C6EFCE"/>
          </w:tcPr>
          <w:p>
            <w:pPr>
              <w:jc w:val="center"/>
            </w:pPr>
            <w:r>
              <w:t>95</w:t>
            </w:r>
          </w:p>
        </w:tc>
        <w:tc>
          <w:tcPr>
            <w:tcW w:type="dxa" w:w="2351"/>
          </w:tcPr>
          <w:p>
            <w:pPr>
              <w:jc w:val="center"/>
            </w:pPr>
            <w:r>
              <w:t>20%</w:t>
            </w:r>
          </w:p>
        </w:tc>
        <w:tc>
          <w:tcPr>
            <w:tcW w:type="dxa" w:w="2351"/>
          </w:tcPr>
          <w:p>
            <w:r>
              <w:t>The company exhibits exceptional capital strength, reflected in a very low Debt to Equity ratio of 0.6. This indicates a highly conservative leverage profile and a robust equity base, providing significant buffer against financial shocks and demonstrating strong financial health. The equity base is more than sufficient to absorb potential losses.</w:t>
            </w:r>
          </w:p>
        </w:tc>
      </w:tr>
      <w:tr>
        <w:tc>
          <w:tcPr>
            <w:tcW w:type="dxa" w:w="2351"/>
            <w:shd w:val="clear" w:color="auto" w:fill="E8F0FE"/>
          </w:tcPr>
          <w:p>
            <w:r>
              <w:rPr>
                <w:b/>
              </w:rPr>
              <w:t>Collateral</w:t>
            </w:r>
          </w:p>
        </w:tc>
        <w:tc>
          <w:tcPr>
            <w:tcW w:type="dxa" w:w="2351"/>
            <w:shd w:val="clear" w:color="auto" w:fill="FFEB9C"/>
          </w:tcPr>
          <w:p>
            <w:pPr>
              <w:jc w:val="center"/>
            </w:pPr>
            <w:r>
              <w:t>65</w:t>
            </w:r>
          </w:p>
        </w:tc>
        <w:tc>
          <w:tcPr>
            <w:tcW w:type="dxa" w:w="2351"/>
          </w:tcPr>
          <w:p>
            <w:pPr>
              <w:jc w:val="center"/>
            </w:pPr>
            <w:r>
              <w:t>15%</w:t>
            </w:r>
          </w:p>
        </w:tc>
        <w:tc>
          <w:tcPr>
            <w:tcW w:type="dxa" w:w="2351"/>
          </w:tcPr>
          <w:p>
            <w:r>
              <w:t>Limited specific information is available regarding the nature, quality, and coverage of collateral. While Tata Motors, as a large automotive major, possesses substantial underlying assets and generally strong asset quality, the absence of explicit details on secured loans or specific collateral pledged for existing debt prevents a higher score. The assessment relies more on the overall creditworthiness of the company rather than specific asset-backed security.</w:t>
            </w:r>
          </w:p>
        </w:tc>
      </w:tr>
      <w:tr>
        <w:tc>
          <w:tcPr>
            <w:tcW w:type="dxa" w:w="2351"/>
            <w:shd w:val="clear" w:color="auto" w:fill="E8F0FE"/>
          </w:tcPr>
          <w:p>
            <w:r>
              <w:rPr>
                <w:b/>
              </w:rPr>
              <w:t>Conditions</w:t>
            </w:r>
          </w:p>
        </w:tc>
        <w:tc>
          <w:tcPr>
            <w:tcW w:type="dxa" w:w="2351"/>
            <w:shd w:val="clear" w:color="auto" w:fill="C6EFCE"/>
          </w:tcPr>
          <w:p>
            <w:pPr>
              <w:jc w:val="center"/>
            </w:pPr>
            <w:r>
              <w:t>95</w:t>
            </w:r>
          </w:p>
        </w:tc>
        <w:tc>
          <w:tcPr>
            <w:tcW w:type="dxa" w:w="2351"/>
          </w:tcPr>
          <w:p>
            <w:pPr>
              <w:jc w:val="center"/>
            </w:pPr>
            <w:r>
              <w:t>10%</w:t>
            </w:r>
          </w:p>
        </w:tc>
        <w:tc>
          <w:tcPr>
            <w:tcW w:type="dxa" w:w="2351"/>
          </w:tcPr>
          <w:p>
            <w:r>
              <w:t>The external operating environment is highly favorable. The manufacturing sector, in which Tata Motors operates, is strong and poised for a demand-led rebound with expectations of strong demand and improved margins. Macroeconomic indicators point to sustained economic growth momentum in India, creating a conducive operating landscape. Regulatory risks are minimal, and recent NCLT approvals for strategic restructuring are positive developments, reinforcing a 'Low' lending risk outlook.</w:t>
            </w:r>
          </w:p>
        </w:tc>
      </w:tr>
      <w:tr>
        <w:tc>
          <w:tcPr>
            <w:tcW w:type="dxa" w:w="2351"/>
            <w:shd w:val="clear" w:color="auto" w:fill="1F3864"/>
          </w:tcPr>
          <w:p>
            <w:r>
              <w:rPr>
                <w:b/>
                <w:color w:val="FFFFFF"/>
              </w:rPr>
              <w:t>OVERALL SCORE</w:t>
            </w:r>
          </w:p>
        </w:tc>
        <w:tc>
          <w:tcPr>
            <w:tcW w:type="dxa" w:w="2351"/>
            <w:shd w:val="clear" w:color="auto" w:fill="BDD7EE"/>
          </w:tcPr>
          <w:p>
            <w:pPr>
              <w:jc w:val="center"/>
            </w:pPr>
            <w:r>
              <w:rPr>
                <w:b/>
              </w:rPr>
              <w:t>53.25/100</w:t>
            </w:r>
          </w:p>
        </w:tc>
        <w:tc>
          <w:tcPr>
            <w:tcW w:type="dxa" w:w="2351"/>
            <w:shd w:val="clear" w:color="auto" w:fill="BDD7EE"/>
          </w:tcPr>
          <w:p>
            <w:r>
              <w:rPr>
                <w:b/>
              </w:rPr>
              <w:t>Rating: B</w:t>
            </w:r>
          </w:p>
        </w:tc>
        <w:tc>
          <w:tcPr>
            <w:tcW w:type="dxa" w:w="2351"/>
          </w:tcPr>
          <w:p/>
        </w:tc>
      </w:tr>
    </w:tbl>
    <w:p/>
    <w:p>
      <w:pPr>
        <w:spacing w:before="240" w:after="120"/>
      </w:pPr>
      <w:r>
        <w:rPr>
          <w:b/>
          <w:color w:val="1F3864"/>
          <w:sz w:val="24"/>
        </w:rPr>
        <w:t>5. RISK ASSESSMENT</w:t>
      </w:r>
    </w:p>
    <w:p>
      <w:r>
        <w:t>### Character Assessment:</w:t>
        <w:br/>
        <w:t>Score: 90/100</w:t>
        <w:br/>
        <w:t>Rationale: The promoters, including Mr. N Chandrasekaran, exhibit an excellent reputation with no reported criminal cases, wilful defaulter status, or significant adverse findings. Management quality is robust, evidenced by successful strategic corporate restructuring such as the NCLT-approved demerger. Minor regulatory non-compliances, including a SEBI settlement for a subsidiary and an RBI compounding fee, have been noted but are considered minor given the company's scale and prompt resolution, not significantly detracting from the overall strong character.</w:t>
        <w:br/>
        <w:br/>
        <w:t>### Capacity Analysis:</w:t>
        <w:br/>
        <w:t>Score: 85/100</w:t>
        <w:br/>
        <w:t>Rationale: Tata Motors demonstrates strong repayment capacity underpinned by stable to growing revenue (1.3% increase) and robust operational profitability. The EBITDA of ₹57,600 crores translates to a healthy EBITDA margin of 13.1%. While a direct Debt Service Coverage Ratio (DSCR) could not be calculated due to data limitations, the substantial EBITDA and PAT figures indicate strong operational cash generation, which is deemed sufficient to service existing and the proposed additional debt obligations.</w:t>
        <w:br/>
        <w:br/>
        <w:t>### Capital Adequacy:</w:t>
        <w:br/>
        <w:t>Score: 95/100</w:t>
        <w:br/>
        <w:t>Rationale: The company exhibits exceptional capital strength, reflected in a very low Debt-to-Equity ratio of 0.6. This signifies a highly conservative leverage profile and a robust equity base, providing a substantial buffer against financial shocks and demonstrating superior financial health. The equity base is more than sufficient to absorb potential losses, indicating a low financial risk profile.</w:t>
        <w:br/>
        <w:br/>
        <w:t>### Collateral Coverage:</w:t>
        <w:br/>
        <w:t>Score: 65/100</w:t>
        <w:br/>
        <w:t>Rationale: While specific collateral details were not provided in the 'debt_profile' section, the score of 65 reflects a moderate level, implying that for a working capital facility for a company of Tata Motors' stature, standard security such as hypothecation of current assets (inventory, receivables) would be obtainable. The inherent strong credit profile of the company also mitigates the need for extensive traditional collateral, though specific charge creation will be a condition precedent for disbursement.</w:t>
        <w:br/>
        <w:br/>
        <w:t>### Conditions Review:</w:t>
        <w:br/>
        <w:t>Score: 80/100</w:t>
        <w:br/>
        <w:t>Rationale: The global automotive sector is subject to cyclical demand and regulatory changes. However, Tata Motors, as a market leader, possesses significant scale, brand recognition, and diversified operations to navigate these dynamics. The recent corporate restructuring is expected to enhance operational efficiencies. While 'sector_headwinds' were not explicitly detailed, the company's strong market position and the purpose of the loan (working capital expansion) suggest favorable business conditions and opportunities for growth. The proposed facility is aligned with the company's operational requirements and strategic objectives.</w:t>
      </w:r>
    </w:p>
    <w:p/>
    <w:p>
      <w:pPr>
        <w:spacing w:before="240" w:after="120"/>
      </w:pPr>
      <w:r>
        <w:rPr>
          <w:b/>
          <w:color w:val="1F3864"/>
          <w:sz w:val="24"/>
        </w:rPr>
        <w:t>6. EARLY WARNING SIGNALS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F0000"/>
          </w:tcPr>
          <w:p>
            <w:r>
              <w:rPr>
                <w:b/>
                <w:color w:val="FFFFFF"/>
              </w:rPr>
              <w:t>#</w:t>
            </w:r>
          </w:p>
        </w:tc>
        <w:tc>
          <w:tcPr>
            <w:tcW w:type="dxa" w:w="3135"/>
            <w:shd w:val="clear" w:color="auto" w:fill="FF0000"/>
          </w:tcPr>
          <w:p>
            <w:r>
              <w:rPr>
                <w:b/>
                <w:color w:val="FFFFFF"/>
              </w:rPr>
              <w:t>Warning Signal</w:t>
            </w:r>
          </w:p>
        </w:tc>
        <w:tc>
          <w:tcPr>
            <w:tcW w:type="dxa" w:w="3135"/>
            <w:shd w:val="clear" w:color="auto" w:fill="FF0000"/>
          </w:tcPr>
          <w:p>
            <w:r>
              <w:rPr>
                <w:b/>
                <w:color w:val="FFFFFF"/>
              </w:rPr>
              <w:t>Severity</w:t>
            </w:r>
          </w:p>
        </w:tc>
      </w:tr>
      <w:tr>
        <w:tc>
          <w:tcPr>
            <w:tcW w:type="dxa" w:w="3135"/>
          </w:tcPr>
          <w:p>
            <w:r>
              <w:t>1</w:t>
            </w:r>
          </w:p>
        </w:tc>
        <w:tc>
          <w:tcPr>
            <w:tcW w:type="dxa" w:w="3135"/>
          </w:tcPr>
          <w:p>
            <w:r>
              <w:t>Tata Motors pays Rs 2.11 crore compounding fee to RBI.</w:t>
            </w:r>
          </w:p>
        </w:tc>
        <w:tc>
          <w:tcPr>
            <w:tcW w:type="dxa" w:w="3135"/>
          </w:tcPr>
          <w:p>
            <w:r>
              <w:t>LOW</w:t>
            </w:r>
          </w:p>
        </w:tc>
      </w:tr>
      <w:tr>
        <w:tc>
          <w:tcPr>
            <w:tcW w:type="dxa" w:w="3135"/>
          </w:tcPr>
          <w:p>
            <w:r>
              <w:t>2</w:t>
            </w:r>
          </w:p>
        </w:tc>
        <w:tc>
          <w:tcPr>
            <w:tcW w:type="dxa" w:w="3135"/>
          </w:tcPr>
          <w:p>
            <w:r>
              <w:t>Tata Motors Finance settles with SEBI for 3.2 million rupees.</w:t>
            </w:r>
          </w:p>
        </w:tc>
        <w:tc>
          <w:tcPr>
            <w:tcW w:type="dxa" w:w="3135"/>
          </w:tcPr>
          <w:p>
            <w:r>
              <w:t>LOW</w:t>
            </w:r>
          </w:p>
        </w:tc>
      </w:tr>
      <w:tr>
        <w:tc>
          <w:tcPr>
            <w:tcW w:type="dxa" w:w="3135"/>
          </w:tcPr>
          <w:p>
            <w:r>
              <w:t>3</w:t>
            </w:r>
          </w:p>
        </w:tc>
        <w:tc>
          <w:tcPr>
            <w:tcW w:type="dxa" w:w="3135"/>
          </w:tcPr>
          <w:p>
            <w:r>
              <w:t>China-based hackers luring Indians into fake Tata Motors free gift campaigns.</w:t>
            </w:r>
          </w:p>
        </w:tc>
        <w:tc>
          <w:tcPr>
            <w:tcW w:type="dxa" w:w="3135"/>
          </w:tcPr>
          <w:p>
            <w:r>
              <w:t>LOW</w:t>
            </w:r>
          </w:p>
        </w:tc>
      </w:tr>
      <w:tr>
        <w:tc>
          <w:tcPr>
            <w:tcW w:type="dxa" w:w="3135"/>
          </w:tcPr>
          <w:p>
            <w:r>
              <w:t>4</w:t>
            </w:r>
          </w:p>
        </w:tc>
        <w:tc>
          <w:tcPr>
            <w:tcW w:type="dxa" w:w="3135"/>
          </w:tcPr>
          <w:p>
            <w:r>
              <w:t>Company fixed security flaws which exposed company and customer data.</w:t>
            </w:r>
          </w:p>
        </w:tc>
        <w:tc>
          <w:tcPr>
            <w:tcW w:type="dxa" w:w="3135"/>
          </w:tcPr>
          <w:p>
            <w:r>
              <w:t>LOW</w:t>
            </w:r>
          </w:p>
        </w:tc>
      </w:tr>
    </w:tbl>
    <w:p/>
    <w:p>
      <w:pPr>
        <w:spacing w:before="240" w:after="120"/>
      </w:pPr>
      <w:r>
        <w:rPr>
          <w:b/>
          <w:color w:val="1F3864"/>
          <w:sz w:val="24"/>
        </w:rPr>
        <w:t>7. RECOMMENDATION &amp; DECISION</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shd w:val="clear" w:color="auto" w:fill="E8F0FE"/>
          </w:tcPr>
          <w:p>
            <w:r>
              <w:rPr>
                <w:b/>
              </w:rPr>
              <w:t>CREDIT DECISION</w:t>
            </w:r>
          </w:p>
        </w:tc>
        <w:tc>
          <w:tcPr>
            <w:tcW w:type="dxa" w:w="4703"/>
            <w:shd w:val="clear" w:color="auto" w:fill="FFEB9C"/>
          </w:tcPr>
          <w:p>
            <w:r>
              <w:rPr>
                <w:b/>
              </w:rPr>
              <w:t>CONDITIONAL_APPROVE</w:t>
            </w:r>
          </w:p>
        </w:tc>
      </w:tr>
      <w:tr>
        <w:tc>
          <w:tcPr>
            <w:tcW w:type="dxa" w:w="4703"/>
            <w:shd w:val="clear" w:color="auto" w:fill="E8F0FE"/>
          </w:tcPr>
          <w:p>
            <w:r>
              <w:rPr>
                <w:b/>
              </w:rPr>
              <w:t>Recommended Amount</w:t>
            </w:r>
          </w:p>
        </w:tc>
        <w:tc>
          <w:tcPr>
            <w:tcW w:type="dxa" w:w="4703"/>
          </w:tcPr>
          <w:p>
            <w:r>
              <w:t>₹ 1500 Crores</w:t>
            </w:r>
          </w:p>
        </w:tc>
      </w:tr>
      <w:tr>
        <w:tc>
          <w:tcPr>
            <w:tcW w:type="dxa" w:w="4703"/>
            <w:shd w:val="clear" w:color="auto" w:fill="E8F0FE"/>
          </w:tcPr>
          <w:p>
            <w:r>
              <w:rPr>
                <w:b/>
              </w:rPr>
              <w:t>Interest Rate</w:t>
            </w:r>
          </w:p>
        </w:tc>
        <w:tc>
          <w:tcPr>
            <w:tcW w:type="dxa" w:w="4703"/>
          </w:tcPr>
          <w:p>
            <w:r>
              <w:t>14.25% p.a.</w:t>
            </w:r>
          </w:p>
        </w:tc>
      </w:tr>
      <w:tr>
        <w:tc>
          <w:tcPr>
            <w:tcW w:type="dxa" w:w="4703"/>
            <w:shd w:val="clear" w:color="auto" w:fill="E8F0FE"/>
          </w:tcPr>
          <w:p>
            <w:r>
              <w:rPr>
                <w:b/>
              </w:rPr>
              <w:t>Tenure</w:t>
            </w:r>
          </w:p>
        </w:tc>
        <w:tc>
          <w:tcPr>
            <w:tcW w:type="dxa" w:w="4703"/>
          </w:tcPr>
          <w:p>
            <w:r>
              <w:t>48 months</w:t>
            </w:r>
          </w:p>
        </w:tc>
      </w:tr>
      <w:tr>
        <w:tc>
          <w:tcPr>
            <w:tcW w:type="dxa" w:w="4703"/>
            <w:shd w:val="clear" w:color="auto" w:fill="E8F0FE"/>
          </w:tcPr>
          <w:p>
            <w:r>
              <w:rPr>
                <w:b/>
              </w:rPr>
              <w:t>Risk Premium</w:t>
            </w:r>
          </w:p>
        </w:tc>
        <w:tc>
          <w:tcPr>
            <w:tcW w:type="dxa" w:w="4703"/>
          </w:tcPr>
          <w:p>
            <w:r>
              <w:t>3.75%</w:t>
            </w:r>
          </w:p>
        </w:tc>
      </w:tr>
      <w:tr>
        <w:tc>
          <w:tcPr>
            <w:tcW w:type="dxa" w:w="4703"/>
            <w:shd w:val="clear" w:color="auto" w:fill="E8F0FE"/>
          </w:tcPr>
          <w:p>
            <w:r>
              <w:rPr>
                <w:b/>
              </w:rPr>
              <w:t>Credit Rating</w:t>
            </w:r>
          </w:p>
        </w:tc>
        <w:tc>
          <w:tcPr>
            <w:tcW w:type="dxa" w:w="4703"/>
          </w:tcPr>
          <w:p>
            <w:r>
              <w:t>B</w:t>
            </w:r>
          </w:p>
        </w:tc>
      </w:tr>
    </w:tbl>
    <w:p/>
    <w:p>
      <w:r>
        <w:rPr>
          <w:b/>
          <w:color w:val="1F3864"/>
        </w:rPr>
        <w:t>Decision Rationale:</w:t>
      </w:r>
    </w:p>
    <w:p>
      <w:r>
        <w:t>The decision to CONDITIONAL_APPROVE Tata Motors Limited stems from a comprehensive assessment of the 5Cs and the resultant risk score. The company demonstrates exceptional strength in 'Capital' (Debt to Equity of 0.6, indicating a robust equity base) and robust 'Capacity' (healthy EBITDA of INR 57,600 Crores, PAT of INR 28,149 Crores, and stable revenue growth of 1.3%, suggesting strong operational cash generation for debt servicing). 'Character' is also very strong (score 90), reflected in the promoters' excellent reputation and management quality, with only minor, promptly resolved regulatory non-compliances. 'Conditions' are favorable (score 95). These strong fundamental aspects provide a solid basis for considering credit.</w:t>
        <w:br/>
        <w:br/>
        <w:t>Despite these strengths, the final 'Risk Score of 53.25 and a 'B' rating' are significant. This is primarily driven by a substantial 33.0-point penalty applied by the scoring model, the specific reasons for which are not detailed in the provided data. This penalty, along with a relatively lower 'Collateral' score of 65, elevates the perceived risk profile from the model's perspective, placing it in the 'BB/B' category for pricing. Given the strong underlying financial health and operational profile of Tata Motors, an outright rejection is unwarranted. However, the 'B' rating necessitates a cautious approach and appropriate risk mitigation. Therefore, a conditional approval is recommended to mitigate the risks indicated by the lower rating and the penalty. The key conditions aim to enhance security, ensure financial discipline, gain full clarity on the underlying risk factors (the penalty), and adequately price the exposure with a risk premium of 3.75% over the base rate (10.5%), resulting in an interest rate of 14.25%.</w:t>
      </w:r>
    </w:p>
    <w:p/>
    <w:p>
      <w:r>
        <w:rPr>
          <w:b/>
          <w:color w:val="1F3864"/>
        </w:rPr>
        <w:t>Conditions Precedent:</w:t>
      </w:r>
    </w:p>
    <w:p>
      <w:pPr>
        <w:pStyle w:val="ListNumber"/>
      </w:pPr>
      <w:r>
        <w:t>1. A formal clarification or detailed explanation regarding the root cause of the 33.0-point penalty applied in the risk scoring model is mandatory before final disbursal.</w:t>
      </w:r>
    </w:p>
    <w:p>
      <w:pPr>
        <w:pStyle w:val="ListNumber"/>
      </w:pPr>
      <w:r>
        <w:t>2. Provision of specific and adequate primary/secondary security (e.g., hypothecation of specific current assets, fixed assets, or pledges of promoter shares) commensurate with the loan amount and ensuring enforceability, given the 'Collateral' score of 65.</w:t>
      </w:r>
    </w:p>
    <w:p>
      <w:pPr>
        <w:pStyle w:val="ListNumber"/>
      </w:pPr>
      <w:r>
        <w:t>3. Maintenance of key financial covenants, including a Debt Service Coverage Ratio (DSCR) of not less than 1.25x and a Debt to Equity Ratio not exceeding 1.0x.</w:t>
      </w:r>
    </w:p>
    <w:p>
      <w:pPr>
        <w:pStyle w:val="ListNumber"/>
      </w:pPr>
      <w:r>
        <w:t>4. A Corporate Guarantee from Tata Sons Private Limited or another suitable strong group entity to bolster security, given the 'B' rating.</w:t>
      </w:r>
    </w:p>
    <w:p>
      <w:pPr>
        <w:pStyle w:val="ListNumber"/>
      </w:pPr>
      <w:r>
        <w:t>5. Strict monitoring of loan end-use to ensure utilization for approved purposes (e.g., working capital, capital expenditure).</w:t>
      </w:r>
    </w:p>
    <w:p>
      <w:pPr>
        <w:pStyle w:val="ListNumber"/>
      </w:pPr>
      <w:r>
        <w:t>6. Submission of quarterly unaudited and annual audited financial statements, along with details of any material adverse events or changes in regulatory compliance status.</w:t>
      </w:r>
    </w:p>
    <w:p/>
    <w:p>
      <w:pPr>
        <w:pBdr>
          <w:bottom w:val="single" w:sz="6" w:space="1" w:color="1F3864"/>
        </w:pBdr>
      </w:pPr>
    </w:p>
    <w:p>
      <w:pPr>
        <w:jc w:val="center"/>
      </w:pPr>
      <w:r>
        <w:rPr>
          <w:color w:val="808080"/>
          <w:sz w:val="16"/>
        </w:rPr>
        <w:t>Generated by Intelli-Credit AI Engine  |  DOMINIX  |  06-Mar-2026 13:33  |  CONFIDENTIAL - For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