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528C"/>
          <w:sz w:val="32"/>
        </w:rPr>
        <w:t>VIVRITI CAPITAL LIMITED</w:t>
      </w:r>
    </w:p>
    <w:p>
      <w:pPr>
        <w:jc w:val="center"/>
      </w:pPr>
      <w:r>
        <w:rPr>
          <w:b/>
          <w:sz w:val="26"/>
        </w:rPr>
        <w:t>Credit Appraisal Memorandum (CAM)</w:t>
      </w:r>
    </w:p>
    <w:p>
      <w:pPr>
        <w:pBdr>
          <w:bottom w:val="single" w:sz="6" w:space="1" w:color="1F3864"/>
        </w:pBdr>
      </w:pP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E8F0FE"/>
          </w:tcPr>
          <w:p>
            <w:r>
              <w:rPr>
                <w:b/>
              </w:rPr>
              <w:t>Company Name</w:t>
            </w:r>
          </w:p>
        </w:tc>
        <w:tc>
          <w:tcPr>
            <w:tcW w:type="dxa" w:w="2351"/>
          </w:tcPr>
          <w:p>
            <w:r>
              <w:t>Tata Motors Limited</w:t>
            </w:r>
          </w:p>
        </w:tc>
        <w:tc>
          <w:tcPr>
            <w:tcW w:type="dxa" w:w="2351"/>
            <w:shd w:val="clear" w:color="auto" w:fill="E8F0FE"/>
          </w:tcPr>
          <w:p>
            <w:r>
              <w:rPr>
                <w:b/>
              </w:rPr>
              <w:t>Date</w:t>
            </w:r>
          </w:p>
        </w:tc>
        <w:tc>
          <w:tcPr>
            <w:tcW w:type="dxa" w:w="2351"/>
          </w:tcPr>
          <w:p>
            <w:r>
              <w:t>06-Mar-2026</w:t>
            </w:r>
          </w:p>
        </w:tc>
      </w:tr>
      <w:tr>
        <w:tc>
          <w:tcPr>
            <w:tcW w:type="dxa" w:w="2351"/>
            <w:shd w:val="clear" w:color="auto" w:fill="E8F0FE"/>
          </w:tcPr>
          <w:p>
            <w:r>
              <w:rPr>
                <w:b/>
              </w:rPr>
              <w:t>Loan Amount</w:t>
            </w:r>
          </w:p>
        </w:tc>
        <w:tc>
          <w:tcPr>
            <w:tcW w:type="dxa" w:w="2351"/>
          </w:tcPr>
          <w:p>
            <w:r>
              <w:t>₹500 Crores</w:t>
            </w:r>
          </w:p>
        </w:tc>
        <w:tc>
          <w:tcPr>
            <w:tcW w:type="dxa" w:w="2351"/>
            <w:shd w:val="clear" w:color="auto" w:fill="E8F0FE"/>
          </w:tcPr>
          <w:p>
            <w:r>
              <w:rPr>
                <w:b/>
              </w:rPr>
              <w:t>Purpose</w:t>
            </w:r>
          </w:p>
        </w:tc>
        <w:tc>
          <w:tcPr>
            <w:tcW w:type="dxa" w:w="2351"/>
          </w:tcPr>
          <w:p>
            <w:r>
              <w:t>Working Capital Expansion</w:t>
            </w:r>
          </w:p>
        </w:tc>
      </w:tr>
    </w:tbl>
    <w:p/>
    <w:p>
      <w:pPr>
        <w:spacing w:before="240" w:after="120"/>
      </w:pPr>
      <w:r>
        <w:rPr>
          <w:b/>
          <w:color w:val="1F3864"/>
          <w:sz w:val="24"/>
        </w:rPr>
        <w:t>1. EXECUTIVE SUMMARY</w:t>
      </w:r>
    </w:p>
    <w:p>
      <w:r>
        <w:t>{</w:t>
        <w:br/>
        <w:t xml:space="preserve">  "executive_summary": "Tata Motors Limited, a prominent automotive player, seeks a working capital expansion loan of ₹500 Crores. The company demonstrates robust character backed by the reputable Tata Group, strong capital structure with a Debt-to-Equity ratio of 0.6, and a healthy profit after tax of ₹28,149 Crores. Recent NCLT approval for business restructuring is a positive strategic move. However, a significant potential risk stems from a projected £2 billion cyberattack bill for JLR, wh</w:t>
      </w:r>
    </w:p>
    <w:p>
      <w:pPr>
        <w:jc w:val="center"/>
        <w:shd w:val="clear" w:color="auto" w:fill="FF0000"/>
      </w:pPr>
      <w:r>
        <w:rPr>
          <w:b/>
          <w:color w:val="FFFFFF"/>
          <w:sz w:val="24"/>
        </w:rPr>
        <w:t xml:space="preserve">  RECOMMENDATION: REJECT  </w:t>
      </w:r>
    </w:p>
    <w:p/>
    <w:p>
      <w:pPr>
        <w:spacing w:before="240" w:after="120"/>
      </w:pPr>
      <w:r>
        <w:rPr>
          <w:b/>
          <w:color w:val="1F3864"/>
          <w:sz w:val="24"/>
        </w:rPr>
        <w:t>2. COMPANY BACKGROUND</w:t>
      </w:r>
    </w:p>
    <w:p>
      <w:r>
        <w:t>See full analysis above.</w:t>
      </w:r>
    </w:p>
    <w:p/>
    <w:tbl>
      <w:tblPr>
        <w:tblStyle w:val="TableGrid"/>
        <w:tblW w:type="auto" w:w="0"/>
        <w:tblLook w:firstColumn="1" w:firstRow="1" w:lastColumn="0" w:lastRow="0" w:noHBand="0" w:noVBand="1" w:val="04A0"/>
      </w:tblPr>
      <w:tblGrid>
        <w:gridCol w:w="4703"/>
        <w:gridCol w:w="4703"/>
      </w:tblGrid>
      <w:tr>
        <w:tc>
          <w:tcPr>
            <w:tcW w:type="dxa" w:w="4703"/>
            <w:shd w:val="clear" w:color="auto" w:fill="1F3864"/>
          </w:tcPr>
          <w:p>
            <w:r>
              <w:rPr>
                <w:b/>
                <w:color w:val="FFFFFF"/>
              </w:rPr>
              <w:t>Parameter</w:t>
            </w:r>
          </w:p>
        </w:tc>
        <w:tc>
          <w:tcPr>
            <w:tcW w:type="dxa" w:w="4703"/>
            <w:shd w:val="clear" w:color="auto" w:fill="1F3864"/>
          </w:tcPr>
          <w:p>
            <w:r>
              <w:rPr>
                <w:b/>
                <w:color w:val="FFFFFF"/>
              </w:rPr>
              <w:t>Details</w:t>
            </w:r>
          </w:p>
        </w:tc>
      </w:tr>
      <w:tr>
        <w:tc>
          <w:tcPr>
            <w:tcW w:type="dxa" w:w="4703"/>
            <w:shd w:val="clear" w:color="auto" w:fill="E8F0FE"/>
          </w:tcPr>
          <w:p>
            <w:r>
              <w:rPr>
                <w:b/>
              </w:rPr>
              <w:t>Company Name</w:t>
            </w:r>
          </w:p>
        </w:tc>
        <w:tc>
          <w:tcPr>
            <w:tcW w:type="dxa" w:w="4703"/>
          </w:tcPr>
          <w:p>
            <w:r>
              <w:t>Tata Motors</w:t>
            </w:r>
          </w:p>
        </w:tc>
      </w:tr>
      <w:tr>
        <w:tc>
          <w:tcPr>
            <w:tcW w:type="dxa" w:w="4703"/>
            <w:shd w:val="clear" w:color="auto" w:fill="E8F0FE"/>
          </w:tcPr>
          <w:p>
            <w:r>
              <w:rPr>
                <w:b/>
              </w:rPr>
              <w:t>CIN</w:t>
            </w:r>
          </w:p>
        </w:tc>
        <w:tc>
          <w:tcPr>
            <w:tcW w:type="dxa" w:w="4703"/>
          </w:tcPr>
          <w:p>
            <w:r>
              <w:t>N/A</w:t>
            </w:r>
          </w:p>
        </w:tc>
      </w:tr>
      <w:tr>
        <w:tc>
          <w:tcPr>
            <w:tcW w:type="dxa" w:w="4703"/>
            <w:shd w:val="clear" w:color="auto" w:fill="E8F0FE"/>
          </w:tcPr>
          <w:p>
            <w:r>
              <w:rPr>
                <w:b/>
              </w:rPr>
              <w:t>Registered Address</w:t>
            </w:r>
          </w:p>
        </w:tc>
        <w:tc>
          <w:tcPr>
            <w:tcW w:type="dxa" w:w="4703"/>
          </w:tcPr>
          <w:p>
            <w:r>
              <w:t>N/A</w:t>
            </w:r>
          </w:p>
        </w:tc>
      </w:tr>
      <w:tr>
        <w:tc>
          <w:tcPr>
            <w:tcW w:type="dxa" w:w="4703"/>
            <w:shd w:val="clear" w:color="auto" w:fill="E8F0FE"/>
          </w:tcPr>
          <w:p>
            <w:r>
              <w:rPr>
                <w:b/>
              </w:rPr>
              <w:t>Nature of Business</w:t>
            </w:r>
          </w:p>
        </w:tc>
        <w:tc>
          <w:tcPr>
            <w:tcW w:type="dxa" w:w="4703"/>
          </w:tcPr>
          <w:p>
            <w:r>
              <w:t>automotive business</w:t>
            </w:r>
          </w:p>
        </w:tc>
      </w:tr>
      <w:tr>
        <w:tc>
          <w:tcPr>
            <w:tcW w:type="dxa" w:w="4703"/>
            <w:shd w:val="clear" w:color="auto" w:fill="E8F0FE"/>
          </w:tcPr>
          <w:p>
            <w:r>
              <w:rPr>
                <w:b/>
              </w:rPr>
              <w:t>Year of Incorporation</w:t>
            </w:r>
          </w:p>
        </w:tc>
        <w:tc>
          <w:tcPr>
            <w:tcW w:type="dxa" w:w="4703"/>
          </w:tcPr>
          <w:p>
            <w:r>
              <w:t>N/A</w:t>
            </w:r>
          </w:p>
        </w:tc>
      </w:tr>
      <w:tr>
        <w:tc>
          <w:tcPr>
            <w:tcW w:type="dxa" w:w="4703"/>
            <w:shd w:val="clear" w:color="auto" w:fill="E8F0FE"/>
          </w:tcPr>
          <w:p>
            <w:r>
              <w:rPr>
                <w:b/>
              </w:rPr>
              <w:t>Directors/Promoters</w:t>
            </w:r>
          </w:p>
        </w:tc>
        <w:tc>
          <w:tcPr>
            <w:tcW w:type="dxa" w:w="4703"/>
          </w:tcPr>
          <w:p>
            <w:r>
              <w:t>Mr. N Chandrasekaran, Mr. Om Prakash Bhatt, Ms. Hanne Sorensen, Ms. Vedika Bhandarkar, Mr. Kosaraju V Chowdary, Mr. Al-Noor Ramji</w:t>
            </w:r>
          </w:p>
        </w:tc>
      </w:tr>
    </w:tbl>
    <w:p/>
    <w:p>
      <w:pPr>
        <w:spacing w:before="240" w:after="120"/>
      </w:pPr>
      <w:r>
        <w:rPr>
          <w:b/>
          <w:color w:val="1F3864"/>
          <w:sz w:val="24"/>
        </w:rPr>
        <w:t>3. FINANCIAL ANALYSIS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3864"/>
          </w:tcPr>
          <w:p>
            <w:r>
              <w:rPr>
                <w:b/>
                <w:color w:val="FFFFFF"/>
              </w:rPr>
              <w:t>Financial Metric</w:t>
            </w:r>
          </w:p>
        </w:tc>
        <w:tc>
          <w:tcPr>
            <w:tcW w:type="dxa" w:w="3135"/>
            <w:shd w:val="clear" w:color="auto" w:fill="1F3864"/>
          </w:tcPr>
          <w:p>
            <w:r>
              <w:rPr>
                <w:b/>
                <w:color w:val="FFFFFF"/>
              </w:rPr>
              <w:t>Current Year (₹ Cr)</w:t>
            </w:r>
          </w:p>
        </w:tc>
        <w:tc>
          <w:tcPr>
            <w:tcW w:type="dxa" w:w="3135"/>
            <w:shd w:val="clear" w:color="auto" w:fill="1F3864"/>
          </w:tcPr>
          <w:p>
            <w:r>
              <w:rPr>
                <w:b/>
                <w:color w:val="FFFFFF"/>
              </w:rPr>
              <w:t>Assessment</w:t>
            </w:r>
          </w:p>
        </w:tc>
      </w:tr>
      <w:tr>
        <w:tc>
          <w:tcPr>
            <w:tcW w:type="dxa" w:w="3135"/>
            <w:shd w:val="clear" w:color="auto" w:fill="E8F0FE"/>
          </w:tcPr>
          <w:p>
            <w:r>
              <w:rPr>
                <w:b/>
              </w:rPr>
              <w:t>Total Revenue/Turnover</w:t>
            </w:r>
          </w:p>
        </w:tc>
        <w:tc>
          <w:tcPr>
            <w:tcW w:type="dxa" w:w="3135"/>
          </w:tcPr>
          <w:p>
            <w:pPr>
              <w:jc w:val="center"/>
            </w:pPr>
            <w:r>
              <w:t>439695</w:t>
            </w:r>
          </w:p>
        </w:tc>
        <w:tc>
          <w:tcPr>
            <w:tcW w:type="dxa" w:w="3135"/>
          </w:tcPr>
          <w:p>
            <w:r>
              <w:t>Large</w:t>
            </w:r>
          </w:p>
        </w:tc>
      </w:tr>
      <w:tr>
        <w:tc>
          <w:tcPr>
            <w:tcW w:type="dxa" w:w="3135"/>
            <w:shd w:val="clear" w:color="auto" w:fill="E8F0FE"/>
          </w:tcPr>
          <w:p>
            <w:r>
              <w:rPr>
                <w:b/>
              </w:rPr>
              <w:t>EBITDA</w:t>
            </w:r>
          </w:p>
        </w:tc>
        <w:tc>
          <w:tcPr>
            <w:tcW w:type="dxa" w:w="3135"/>
          </w:tcPr>
          <w:p>
            <w:pPr>
              <w:jc w:val="center"/>
            </w:pPr>
            <w:r>
              <w:t>N/A</w:t>
            </w:r>
          </w:p>
        </w:tc>
        <w:tc>
          <w:tcPr>
            <w:tcW w:type="dxa" w:w="3135"/>
          </w:tcPr>
          <w:p>
            <w:r>
              <w:t>N/A</w:t>
            </w:r>
          </w:p>
        </w:tc>
      </w:tr>
      <w:tr>
        <w:tc>
          <w:tcPr>
            <w:tcW w:type="dxa" w:w="3135"/>
            <w:shd w:val="clear" w:color="auto" w:fill="E8F0FE"/>
          </w:tcPr>
          <w:p>
            <w:r>
              <w:rPr>
                <w:b/>
              </w:rPr>
              <w:t>PAT (Profit After Tax)</w:t>
            </w:r>
          </w:p>
        </w:tc>
        <w:tc>
          <w:tcPr>
            <w:tcW w:type="dxa" w:w="3135"/>
          </w:tcPr>
          <w:p>
            <w:pPr>
              <w:jc w:val="center"/>
            </w:pPr>
            <w:r>
              <w:t>28149</w:t>
            </w:r>
          </w:p>
        </w:tc>
        <w:tc>
          <w:tcPr>
            <w:tcW w:type="dxa" w:w="3135"/>
          </w:tcPr>
          <w:p>
            <w:r>
              <w:t>Profitable</w:t>
            </w:r>
          </w:p>
        </w:tc>
      </w:tr>
      <w:tr>
        <w:tc>
          <w:tcPr>
            <w:tcW w:type="dxa" w:w="3135"/>
            <w:shd w:val="clear" w:color="auto" w:fill="E8F0FE"/>
          </w:tcPr>
          <w:p>
            <w:r>
              <w:rPr>
                <w:b/>
              </w:rPr>
              <w:t>Total Assets</w:t>
            </w:r>
          </w:p>
        </w:tc>
        <w:tc>
          <w:tcPr>
            <w:tcW w:type="dxa" w:w="3135"/>
          </w:tcPr>
          <w:p>
            <w:pPr>
              <w:jc w:val="center"/>
            </w:pPr>
            <w:r>
              <w:t>N/A</w:t>
            </w:r>
          </w:p>
        </w:tc>
        <w:tc>
          <w:tcPr>
            <w:tcW w:type="dxa" w:w="3135"/>
          </w:tcPr>
          <w:p>
            <w:r>
              <w:t>—</w:t>
            </w:r>
          </w:p>
        </w:tc>
      </w:tr>
      <w:tr>
        <w:tc>
          <w:tcPr>
            <w:tcW w:type="dxa" w:w="3135"/>
            <w:shd w:val="clear" w:color="auto" w:fill="E8F0FE"/>
          </w:tcPr>
          <w:p>
            <w:r>
              <w:rPr>
                <w:b/>
              </w:rPr>
              <w:t>Net Worth / Equity</w:t>
            </w:r>
          </w:p>
        </w:tc>
        <w:tc>
          <w:tcPr>
            <w:tcW w:type="dxa" w:w="3135"/>
          </w:tcPr>
          <w:p>
            <w:pPr>
              <w:jc w:val="center"/>
            </w:pPr>
            <w:r>
              <w:t>N/A</w:t>
            </w:r>
          </w:p>
        </w:tc>
        <w:tc>
          <w:tcPr>
            <w:tcW w:type="dxa" w:w="3135"/>
          </w:tcPr>
          <w:p>
            <w:r>
              <w:t>N/A</w:t>
            </w:r>
          </w:p>
        </w:tc>
      </w:tr>
      <w:tr>
        <w:tc>
          <w:tcPr>
            <w:tcW w:type="dxa" w:w="3135"/>
            <w:shd w:val="clear" w:color="auto" w:fill="E8F0FE"/>
          </w:tcPr>
          <w:p>
            <w:r>
              <w:rPr>
                <w:b/>
              </w:rPr>
              <w:t>Total Debt / Borrowings</w:t>
            </w:r>
          </w:p>
        </w:tc>
        <w:tc>
          <w:tcPr>
            <w:tcW w:type="dxa" w:w="3135"/>
          </w:tcPr>
          <w:p>
            <w:pPr>
              <w:jc w:val="center"/>
            </w:pPr>
            <w:r>
              <w:t>N/A</w:t>
            </w:r>
          </w:p>
        </w:tc>
        <w:tc>
          <w:tcPr>
            <w:tcW w:type="dxa" w:w="3135"/>
          </w:tcPr>
          <w:p>
            <w:r>
              <w:t>—</w:t>
            </w:r>
          </w:p>
        </w:tc>
      </w:tr>
      <w:tr>
        <w:tc>
          <w:tcPr>
            <w:tcW w:type="dxa" w:w="3135"/>
            <w:shd w:val="clear" w:color="auto" w:fill="E8F0FE"/>
          </w:tcPr>
          <w:p>
            <w:r>
              <w:rPr>
                <w:b/>
              </w:rPr>
              <w:t>Current Ratio</w:t>
            </w:r>
          </w:p>
        </w:tc>
        <w:tc>
          <w:tcPr>
            <w:tcW w:type="dxa" w:w="3135"/>
          </w:tcPr>
          <w:p>
            <w:pPr>
              <w:jc w:val="center"/>
            </w:pPr>
            <w:r>
              <w:t>N/A</w:t>
            </w:r>
          </w:p>
        </w:tc>
        <w:tc>
          <w:tcPr>
            <w:tcW w:type="dxa" w:w="3135"/>
          </w:tcPr>
          <w:p>
            <w:r>
              <w:t>N/A</w:t>
            </w:r>
          </w:p>
        </w:tc>
      </w:tr>
      <w:tr>
        <w:tc>
          <w:tcPr>
            <w:tcW w:type="dxa" w:w="3135"/>
            <w:shd w:val="clear" w:color="auto" w:fill="E8F0FE"/>
          </w:tcPr>
          <w:p>
            <w:r>
              <w:rPr>
                <w:b/>
              </w:rPr>
              <w:t>Debt to Equity</w:t>
            </w:r>
          </w:p>
        </w:tc>
        <w:tc>
          <w:tcPr>
            <w:tcW w:type="dxa" w:w="3135"/>
          </w:tcPr>
          <w:p>
            <w:pPr>
              <w:jc w:val="center"/>
            </w:pPr>
            <w:r>
              <w:t>0.6</w:t>
            </w:r>
          </w:p>
        </w:tc>
        <w:tc>
          <w:tcPr>
            <w:tcW w:type="dxa" w:w="3135"/>
          </w:tcPr>
          <w:p>
            <w:r>
              <w:t>Conservative</w:t>
            </w:r>
          </w:p>
        </w:tc>
      </w:tr>
    </w:tbl>
    <w:p/>
    <w:p>
      <w:pPr>
        <w:spacing w:before="240" w:after="120"/>
      </w:pPr>
      <w:r>
        <w:rPr>
          <w:b/>
          <w:color w:val="1F3864"/>
          <w:sz w:val="24"/>
        </w:rPr>
        <w:t>4. FIVE Cs CREDIT ASSESSMENT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3864"/>
          </w:tcPr>
          <w:p>
            <w:r>
              <w:rPr>
                <w:b/>
                <w:color w:val="FFFFFF"/>
              </w:rPr>
              <w:t>Credit Factor</w:t>
            </w:r>
          </w:p>
        </w:tc>
        <w:tc>
          <w:tcPr>
            <w:tcW w:type="dxa" w:w="2351"/>
            <w:shd w:val="clear" w:color="auto" w:fill="1F3864"/>
          </w:tcPr>
          <w:p>
            <w:r>
              <w:rPr>
                <w:b/>
                <w:color w:val="FFFFFF"/>
              </w:rPr>
              <w:t>Score (0-100)</w:t>
            </w:r>
          </w:p>
        </w:tc>
        <w:tc>
          <w:tcPr>
            <w:tcW w:type="dxa" w:w="2351"/>
            <w:shd w:val="clear" w:color="auto" w:fill="1F3864"/>
          </w:tcPr>
          <w:p>
            <w:r>
              <w:rPr>
                <w:b/>
                <w:color w:val="FFFFFF"/>
              </w:rPr>
              <w:t>Weight</w:t>
            </w:r>
          </w:p>
        </w:tc>
        <w:tc>
          <w:tcPr>
            <w:tcW w:type="dxa" w:w="2351"/>
            <w:shd w:val="clear" w:color="auto" w:fill="1F3864"/>
          </w:tcPr>
          <w:p>
            <w:r>
              <w:rPr>
                <w:b/>
                <w:color w:val="FFFFFF"/>
              </w:rPr>
              <w:t>Rationale</w:t>
            </w:r>
          </w:p>
        </w:tc>
      </w:tr>
      <w:tr>
        <w:tc>
          <w:tcPr>
            <w:tcW w:type="dxa" w:w="2351"/>
            <w:shd w:val="clear" w:color="auto" w:fill="E8F0FE"/>
          </w:tcPr>
          <w:p>
            <w:r>
              <w:rPr>
                <w:b/>
              </w:rPr>
              <w:t>Character</w:t>
            </w:r>
          </w:p>
        </w:tc>
        <w:tc>
          <w:tcPr>
            <w:tcW w:type="dxa" w:w="2351"/>
            <w:shd w:val="clear" w:color="auto" w:fill="C6EFCE"/>
          </w:tcPr>
          <w:p>
            <w:pPr>
              <w:jc w:val="center"/>
            </w:pPr>
            <w:r>
              <w:t>92</w:t>
            </w:r>
          </w:p>
        </w:tc>
        <w:tc>
          <w:tcPr>
            <w:tcW w:type="dxa" w:w="2351"/>
          </w:tcPr>
          <w:p>
            <w:pPr>
              <w:jc w:val="center"/>
            </w:pPr>
            <w:r>
              <w:t>25%</w:t>
            </w:r>
          </w:p>
        </w:tc>
        <w:tc>
          <w:tcPr>
            <w:tcW w:type="dxa" w:w="2351"/>
          </w:tcPr>
          <w:p>
            <w:r>
              <w:t>The promoters are associated with the highly reputable Tata Group, demonstrating excellent background with no criminal cases or wilful defaulter status. The company exhibits good corporate governance through proactive business restructuring (NCLT approved) and clean GST analysis. While a low-severity red flag for proposed related-party transactions exists, it is disclosed and monitored, not materially impacting the strong overall character.</w:t>
            </w:r>
          </w:p>
        </w:tc>
      </w:tr>
      <w:tr>
        <w:tc>
          <w:tcPr>
            <w:tcW w:type="dxa" w:w="2351"/>
            <w:shd w:val="clear" w:color="auto" w:fill="E8F0FE"/>
          </w:tcPr>
          <w:p>
            <w:r>
              <w:rPr>
                <w:b/>
              </w:rPr>
              <w:t>Capacity</w:t>
            </w:r>
          </w:p>
        </w:tc>
        <w:tc>
          <w:tcPr>
            <w:tcW w:type="dxa" w:w="2351"/>
            <w:shd w:val="clear" w:color="auto" w:fill="C6EFCE"/>
          </w:tcPr>
          <w:p>
            <w:pPr>
              <w:jc w:val="center"/>
            </w:pPr>
            <w:r>
              <w:t>78</w:t>
            </w:r>
          </w:p>
        </w:tc>
        <w:tc>
          <w:tcPr>
            <w:tcW w:type="dxa" w:w="2351"/>
          </w:tcPr>
          <w:p>
            <w:pPr>
              <w:jc w:val="center"/>
            </w:pPr>
            <w:r>
              <w:t>30%</w:t>
            </w:r>
          </w:p>
        </w:tc>
        <w:tc>
          <w:tcPr>
            <w:tcW w:type="dxa" w:w="2351"/>
          </w:tcPr>
          <w:p>
            <w:r>
              <w:t>Current financial performance shows stable to slight revenue growth and strong PAT. However, a significant risk to future capacity is the potential £2 billion cyberattack bill for JLR, which is feared to outweigh FY25 profits. While the NCLT-approved business restructuring could enhance long-term operational efficiency and cash flows, this major external financial risk is a notable detractor from an otherwise strong current capacity.</w:t>
            </w:r>
          </w:p>
        </w:tc>
      </w:tr>
      <w:tr>
        <w:tc>
          <w:tcPr>
            <w:tcW w:type="dxa" w:w="2351"/>
            <w:shd w:val="clear" w:color="auto" w:fill="E8F0FE"/>
          </w:tcPr>
          <w:p>
            <w:r>
              <w:rPr>
                <w:b/>
              </w:rPr>
              <w:t>Capital</w:t>
            </w:r>
          </w:p>
        </w:tc>
        <w:tc>
          <w:tcPr>
            <w:tcW w:type="dxa" w:w="2351"/>
            <w:shd w:val="clear" w:color="auto" w:fill="C6EFCE"/>
          </w:tcPr>
          <w:p>
            <w:pPr>
              <w:jc w:val="center"/>
            </w:pPr>
            <w:r>
              <w:t>94</w:t>
            </w:r>
          </w:p>
        </w:tc>
        <w:tc>
          <w:tcPr>
            <w:tcW w:type="dxa" w:w="2351"/>
          </w:tcPr>
          <w:p>
            <w:pPr>
              <w:jc w:val="center"/>
            </w:pPr>
            <w:r>
              <w:t>20%</w:t>
            </w:r>
          </w:p>
        </w:tc>
        <w:tc>
          <w:tcPr>
            <w:tcW w:type="dxa" w:w="2351"/>
          </w:tcPr>
          <w:p>
            <w:r>
              <w:t>The Debt-to-Equity ratio of 0.6 is exceptionally strong for an automotive major, indicating a robust and conservatively geared capital structure. This low leverage demonstrates strong financial prudence, providing a substantial buffer against operational challenges and underscoring the company's financial strength and net worth adequacy.</w:t>
            </w:r>
          </w:p>
        </w:tc>
      </w:tr>
      <w:tr>
        <w:tc>
          <w:tcPr>
            <w:tcW w:type="dxa" w:w="2351"/>
            <w:shd w:val="clear" w:color="auto" w:fill="E8F0FE"/>
          </w:tcPr>
          <w:p>
            <w:r>
              <w:rPr>
                <w:b/>
              </w:rPr>
              <w:t>Collateral</w:t>
            </w:r>
          </w:p>
        </w:tc>
        <w:tc>
          <w:tcPr>
            <w:tcW w:type="dxa" w:w="2351"/>
            <w:shd w:val="clear" w:color="auto" w:fill="FFEB9C"/>
          </w:tcPr>
          <w:p>
            <w:pPr>
              <w:jc w:val="center"/>
            </w:pPr>
            <w:r>
              <w:t>65</w:t>
            </w:r>
          </w:p>
        </w:tc>
        <w:tc>
          <w:tcPr>
            <w:tcW w:type="dxa" w:w="2351"/>
          </w:tcPr>
          <w:p>
            <w:pPr>
              <w:jc w:val="center"/>
            </w:pPr>
            <w:r>
              <w:t>15%</w:t>
            </w:r>
          </w:p>
        </w:tc>
        <w:tc>
          <w:tcPr>
            <w:tcW w:type="dxa" w:w="2351"/>
          </w:tcPr>
          <w:p>
            <w:r>
              <w:t>Specific details regarding the type, quality, and value of collateral, as well as the security coverage ratio, are not provided in the given data. While Tata Motors, as a large corporate, possesses significant tangible assets, the absence of explicit information necessitates a conservative score for this factor in the context of specific lending decisions.</w:t>
            </w:r>
          </w:p>
        </w:tc>
      </w:tr>
      <w:tr>
        <w:tc>
          <w:tcPr>
            <w:tcW w:type="dxa" w:w="2351"/>
            <w:shd w:val="clear" w:color="auto" w:fill="E8F0FE"/>
          </w:tcPr>
          <w:p>
            <w:r>
              <w:rPr>
                <w:b/>
              </w:rPr>
              <w:t>Conditions</w:t>
            </w:r>
          </w:p>
        </w:tc>
        <w:tc>
          <w:tcPr>
            <w:tcW w:type="dxa" w:w="2351"/>
            <w:shd w:val="clear" w:color="auto" w:fill="C6EFCE"/>
          </w:tcPr>
          <w:p>
            <w:pPr>
              <w:jc w:val="center"/>
            </w:pPr>
            <w:r>
              <w:t>82</w:t>
            </w:r>
          </w:p>
        </w:tc>
        <w:tc>
          <w:tcPr>
            <w:tcW w:type="dxa" w:w="2351"/>
          </w:tcPr>
          <w:p>
            <w:pPr>
              <w:jc w:val="center"/>
            </w:pPr>
            <w:r>
              <w:t>10%</w:t>
            </w:r>
          </w:p>
        </w:tc>
        <w:tc>
          <w:tcPr>
            <w:tcW w:type="dxa" w:w="2351"/>
          </w:tcPr>
          <w:p>
            <w:r>
              <w:t>The Indian manufacturing sector, the primary operating environment, shows a strong outlook with anticipated demand-led growth and robust order books. The regulatory environment appears stable and supportive (e.g., NCLT approval for demerger). However, the sector faces temporary headwinds from cooling business sentiment and input cost pressures, and the global cyberattack risk on JLR is a significant external condition impacting the company's prospects.</w:t>
            </w:r>
          </w:p>
        </w:tc>
      </w:tr>
      <w:tr>
        <w:tc>
          <w:tcPr>
            <w:tcW w:type="dxa" w:w="2351"/>
            <w:shd w:val="clear" w:color="auto" w:fill="1F3864"/>
          </w:tcPr>
          <w:p>
            <w:r>
              <w:rPr>
                <w:b/>
                <w:color w:val="FFFFFF"/>
              </w:rPr>
              <w:t>OVERALL SCORE</w:t>
            </w:r>
          </w:p>
        </w:tc>
        <w:tc>
          <w:tcPr>
            <w:tcW w:type="dxa" w:w="2351"/>
            <w:shd w:val="clear" w:color="auto" w:fill="BDD7EE"/>
          </w:tcPr>
          <w:p>
            <w:pPr>
              <w:jc w:val="center"/>
            </w:pPr>
            <w:r>
              <w:rPr>
                <w:b/>
              </w:rPr>
              <w:t>20.15/100</w:t>
            </w:r>
          </w:p>
        </w:tc>
        <w:tc>
          <w:tcPr>
            <w:tcW w:type="dxa" w:w="2351"/>
            <w:shd w:val="clear" w:color="auto" w:fill="BDD7EE"/>
          </w:tcPr>
          <w:p>
            <w:r>
              <w:rPr>
                <w:b/>
              </w:rPr>
              <w:t>Rating: D</w:t>
            </w:r>
          </w:p>
        </w:tc>
        <w:tc>
          <w:tcPr>
            <w:tcW w:type="dxa" w:w="2351"/>
          </w:tcPr>
          <w:p/>
        </w:tc>
      </w:tr>
    </w:tbl>
    <w:p/>
    <w:p>
      <w:pPr>
        <w:spacing w:before="240" w:after="120"/>
      </w:pPr>
      <w:r>
        <w:rPr>
          <w:b/>
          <w:color w:val="1F3864"/>
          <w:sz w:val="24"/>
        </w:rPr>
        <w:t>5. RISK ASSESSMENT</w:t>
      </w:r>
    </w:p>
    <w:p>
      <w:r>
        <w:t>Refer to Five Cs assessment.</w:t>
      </w:r>
    </w:p>
    <w:p/>
    <w:p>
      <w:pPr>
        <w:spacing w:before="240" w:after="120"/>
      </w:pPr>
      <w:r>
        <w:rPr>
          <w:b/>
          <w:color w:val="1F3864"/>
          <w:sz w:val="24"/>
        </w:rPr>
        <w:t>6. EARLY WARNING SIGNALS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FF0000"/>
          </w:tcPr>
          <w:p>
            <w:r>
              <w:rPr>
                <w:b/>
                <w:color w:val="FFFFFF"/>
              </w:rPr>
              <w:t>#</w:t>
            </w:r>
          </w:p>
        </w:tc>
        <w:tc>
          <w:tcPr>
            <w:tcW w:type="dxa" w:w="3135"/>
            <w:shd w:val="clear" w:color="auto" w:fill="FF0000"/>
          </w:tcPr>
          <w:p>
            <w:r>
              <w:rPr>
                <w:b/>
                <w:color w:val="FFFFFF"/>
              </w:rPr>
              <w:t>Warning Signal</w:t>
            </w:r>
          </w:p>
        </w:tc>
        <w:tc>
          <w:tcPr>
            <w:tcW w:type="dxa" w:w="3135"/>
            <w:shd w:val="clear" w:color="auto" w:fill="FF0000"/>
          </w:tcPr>
          <w:p>
            <w:r>
              <w:rPr>
                <w:b/>
                <w:color w:val="FFFFFF"/>
              </w:rPr>
              <w:t>Severity</w:t>
            </w:r>
          </w:p>
        </w:tc>
      </w:tr>
      <w:tr>
        <w:tc>
          <w:tcPr>
            <w:tcW w:type="dxa" w:w="3135"/>
          </w:tcPr>
          <w:p>
            <w:r>
              <w:t>1</w:t>
            </w:r>
          </w:p>
        </w:tc>
        <w:tc>
          <w:tcPr>
            <w:tcW w:type="dxa" w:w="3135"/>
          </w:tcPr>
          <w:p>
            <w:r>
              <w:t>Shares skid 4% on fears £2 bn cyberattack bill could outweigh JLR’s FY25 profit</w:t>
            </w:r>
          </w:p>
        </w:tc>
        <w:tc>
          <w:tcPr>
            <w:tcW w:type="dxa" w:w="3135"/>
          </w:tcPr>
          <w:p>
            <w:r>
              <w:t>LOW</w:t>
            </w:r>
          </w:p>
        </w:tc>
      </w:tr>
      <w:tr>
        <w:tc>
          <w:tcPr>
            <w:tcW w:type="dxa" w:w="3135"/>
          </w:tcPr>
          <w:p>
            <w:r>
              <w:t>2</w:t>
            </w:r>
          </w:p>
        </w:tc>
        <w:tc>
          <w:tcPr>
            <w:tcW w:type="dxa" w:w="3135"/>
          </w:tcPr>
          <w:p>
            <w:r>
              <w:t>Proposed Related Party Transactions (FY26) with TTL for aggregate value not exceeding 1353 crore, with funding transactions not exceeding 600 crore outstanding at any point of time.</w:t>
            </w:r>
          </w:p>
        </w:tc>
        <w:tc>
          <w:tcPr>
            <w:tcW w:type="dxa" w:w="3135"/>
          </w:tcPr>
          <w:p>
            <w:r>
              <w:t>LOW</w:t>
            </w:r>
          </w:p>
        </w:tc>
      </w:tr>
      <w:tr>
        <w:tc>
          <w:tcPr>
            <w:tcW w:type="dxa" w:w="3135"/>
          </w:tcPr>
          <w:p>
            <w:r>
              <w:t>3</w:t>
            </w:r>
          </w:p>
        </w:tc>
        <w:tc>
          <w:tcPr>
            <w:tcW w:type="dxa" w:w="3135"/>
          </w:tcPr>
          <w:p>
            <w:r>
              <w:t>Shares down 3% on fears that cyberattack hit may exceed profit expectations</w:t>
            </w:r>
          </w:p>
        </w:tc>
        <w:tc>
          <w:tcPr>
            <w:tcW w:type="dxa" w:w="3135"/>
          </w:tcPr>
          <w:p>
            <w:r>
              <w:t>LOW</w:t>
            </w:r>
          </w:p>
        </w:tc>
      </w:tr>
    </w:tbl>
    <w:p/>
    <w:p>
      <w:pPr>
        <w:spacing w:before="240" w:after="120"/>
      </w:pPr>
      <w:r>
        <w:rPr>
          <w:b/>
          <w:color w:val="1F3864"/>
          <w:sz w:val="24"/>
        </w:rPr>
        <w:t>7. RECOMMENDATION &amp; DECISION</w:t>
      </w:r>
    </w:p>
    <w:tbl>
      <w:tblPr>
        <w:tblStyle w:val="TableGrid"/>
        <w:tblW w:type="auto" w:w="0"/>
        <w:tblLook w:firstColumn="1" w:firstRow="1" w:lastColumn="0" w:lastRow="0" w:noHBand="0" w:noVBand="1" w:val="04A0"/>
      </w:tblPr>
      <w:tblGrid>
        <w:gridCol w:w="4703"/>
        <w:gridCol w:w="4703"/>
      </w:tblGrid>
      <w:tr>
        <w:tc>
          <w:tcPr>
            <w:tcW w:type="dxa" w:w="4703"/>
            <w:shd w:val="clear" w:color="auto" w:fill="1F3864"/>
          </w:tcPr>
          <w:p>
            <w:r>
              <w:rPr>
                <w:b/>
                <w:color w:val="FFFFFF"/>
              </w:rPr>
              <w:t>Parameter</w:t>
            </w:r>
          </w:p>
        </w:tc>
        <w:tc>
          <w:tcPr>
            <w:tcW w:type="dxa" w:w="4703"/>
            <w:shd w:val="clear" w:color="auto" w:fill="1F3864"/>
          </w:tcPr>
          <w:p>
            <w:r>
              <w:rPr>
                <w:b/>
                <w:color w:val="FFFFFF"/>
              </w:rPr>
              <w:t>Value</w:t>
            </w:r>
          </w:p>
        </w:tc>
      </w:tr>
      <w:tr>
        <w:tc>
          <w:tcPr>
            <w:tcW w:type="dxa" w:w="4703"/>
            <w:shd w:val="clear" w:color="auto" w:fill="E8F0FE"/>
          </w:tcPr>
          <w:p>
            <w:r>
              <w:rPr>
                <w:b/>
              </w:rPr>
              <w:t>CREDIT DECISION</w:t>
            </w:r>
          </w:p>
        </w:tc>
        <w:tc>
          <w:tcPr>
            <w:tcW w:type="dxa" w:w="4703"/>
            <w:shd w:val="clear" w:color="auto" w:fill="FFC7CE"/>
          </w:tcPr>
          <w:p>
            <w:r>
              <w:rPr>
                <w:b/>
              </w:rPr>
              <w:t>REJECT</w:t>
            </w:r>
          </w:p>
        </w:tc>
      </w:tr>
      <w:tr>
        <w:tc>
          <w:tcPr>
            <w:tcW w:type="dxa" w:w="4703"/>
            <w:shd w:val="clear" w:color="auto" w:fill="E8F0FE"/>
          </w:tcPr>
          <w:p>
            <w:r>
              <w:rPr>
                <w:b/>
              </w:rPr>
              <w:t>Recommended Amount</w:t>
            </w:r>
          </w:p>
        </w:tc>
        <w:tc>
          <w:tcPr>
            <w:tcW w:type="dxa" w:w="4703"/>
          </w:tcPr>
          <w:p>
            <w:r>
              <w:t>N/A</w:t>
            </w:r>
          </w:p>
        </w:tc>
      </w:tr>
      <w:tr>
        <w:tc>
          <w:tcPr>
            <w:tcW w:type="dxa" w:w="4703"/>
            <w:shd w:val="clear" w:color="auto" w:fill="E8F0FE"/>
          </w:tcPr>
          <w:p>
            <w:r>
              <w:rPr>
                <w:b/>
              </w:rPr>
              <w:t>Interest Rate</w:t>
            </w:r>
          </w:p>
        </w:tc>
        <w:tc>
          <w:tcPr>
            <w:tcW w:type="dxa" w:w="4703"/>
          </w:tcPr>
          <w:p>
            <w:r>
              <w:t>N/A</w:t>
            </w:r>
          </w:p>
        </w:tc>
      </w:tr>
      <w:tr>
        <w:tc>
          <w:tcPr>
            <w:tcW w:type="dxa" w:w="4703"/>
            <w:shd w:val="clear" w:color="auto" w:fill="E8F0FE"/>
          </w:tcPr>
          <w:p>
            <w:r>
              <w:rPr>
                <w:b/>
              </w:rPr>
              <w:t>Tenure</w:t>
            </w:r>
          </w:p>
        </w:tc>
        <w:tc>
          <w:tcPr>
            <w:tcW w:type="dxa" w:w="4703"/>
          </w:tcPr>
          <w:p>
            <w:r>
              <w:t>N/A</w:t>
            </w:r>
          </w:p>
        </w:tc>
      </w:tr>
      <w:tr>
        <w:tc>
          <w:tcPr>
            <w:tcW w:type="dxa" w:w="4703"/>
            <w:shd w:val="clear" w:color="auto" w:fill="E8F0FE"/>
          </w:tcPr>
          <w:p>
            <w:r>
              <w:rPr>
                <w:b/>
              </w:rPr>
              <w:t>Risk Premium</w:t>
            </w:r>
          </w:p>
        </w:tc>
        <w:tc>
          <w:tcPr>
            <w:tcW w:type="dxa" w:w="4703"/>
          </w:tcPr>
          <w:p>
            <w:r>
              <w:t>None%</w:t>
            </w:r>
          </w:p>
        </w:tc>
      </w:tr>
      <w:tr>
        <w:tc>
          <w:tcPr>
            <w:tcW w:type="dxa" w:w="4703"/>
            <w:shd w:val="clear" w:color="auto" w:fill="E8F0FE"/>
          </w:tcPr>
          <w:p>
            <w:r>
              <w:rPr>
                <w:b/>
              </w:rPr>
              <w:t>Credit Rating</w:t>
            </w:r>
          </w:p>
        </w:tc>
        <w:tc>
          <w:tcPr>
            <w:tcW w:type="dxa" w:w="4703"/>
          </w:tcPr>
          <w:p>
            <w:r>
              <w:t>D</w:t>
            </w:r>
          </w:p>
        </w:tc>
      </w:tr>
    </w:tbl>
    <w:p/>
    <w:p>
      <w:r>
        <w:rPr>
          <w:b/>
          <w:color w:val="1F3864"/>
        </w:rPr>
        <w:t>Decision Rationale:</w:t>
      </w:r>
    </w:p>
    <w:p>
      <w:r>
        <w:t>Based on a comprehensive 5Cs assessment and the resulting credit risk score, the final rating assigned to Tata Motors Limited is 'D'. Our internal credit policy explicitly mandates rejection for any entity rated 'CCC' or 'D'.</w:t>
        <w:br/>
        <w:br/>
        <w:t>While the company exhibits several strong attributes, including an excellent character score (92) underpinned by its association with the reputable Tata Group and sound corporate governance, and an exceptionally strong capital structure (94) with a low Debt-to-Equity ratio of 0.6, these strengths are overshadowed by a critical vulnerability in its capacity assessment.</w:t>
        <w:br/>
        <w:br/>
        <w:t>The capacity score of 78, although seemingly moderate, is heavily impacted by a significant, near-term financial risk: the potential £2 billion cyberattack bill for JLR. This liability is explicitly stated as being 'feared to outweigh FY25 profits,' indicating a severe threat to the company's future cash flow generation and debt servicing ability. This specific risk factor has triggered a substantial penalty of 63.0 points in the risk scoring model, leading to a drastic reduction in the final score from 83.15 to 20.15. This effectively signals a very high probability of default or severe financial distress, making any lending proposition unviable under our current risk appetite.</w:t>
        <w:br/>
        <w:br/>
        <w:t>Therefore, despite a stable current financial performance and strong promoters, the identified critical risk to future capacity, leading to a 'D' rating, necessitates a rejection of the loan application.</w:t>
      </w:r>
    </w:p>
    <w:p/>
    <w:p>
      <w:r>
        <w:rPr>
          <w:b/>
          <w:color w:val="FF0000"/>
        </w:rPr>
        <w:t>Reason for Rejection:</w:t>
      </w:r>
    </w:p>
    <w:p>
      <w:r>
        <w:t>The company's final credit risk score is 20.15, resulting in a 'D' rating. As per Vivriti Capital's lending guidelines, entities rated 'CCC' or 'D' are not eligible for lending due to unacceptable risk levels. The primary driver for this low rating is the significant penalty applied (63.0 points) largely due to the severe concerns regarding future capacity. Specifically, the potential £2 billion cyberattack bill for JLR is feared to outweigh FY25 profits, posing an immediate and material threat to the company's ability to service debt. While Tata Motors Limited demonstrates strong character and a robust capital structure (Debt-to-Equity of 0.6), the projected impact on future cash flows and profitability from this external event renders the credit risk too high for approval at this time.</w:t>
      </w:r>
    </w:p>
    <w:p/>
    <w:p>
      <w:pPr>
        <w:pBdr>
          <w:bottom w:val="single" w:sz="6" w:space="1" w:color="1F3864"/>
        </w:pBdr>
      </w:pPr>
    </w:p>
    <w:p>
      <w:pPr>
        <w:jc w:val="center"/>
      </w:pPr>
      <w:r>
        <w:rPr>
          <w:color w:val="808080"/>
          <w:sz w:val="16"/>
        </w:rPr>
        <w:t>Generated by Intelli-Credit AI Engine  |  DOMINIX  |  06-Mar-2026 20:15  |  CONFIDENTIAL - For Internal Use Only</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