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160"/>
        <w:gridCol w:w="5040"/>
        <w:gridCol w:w="2880"/>
      </w:tblGrid>
      <w:tr>
        <w:tc>
          <w:tcPr>
            <w:tcW w:type="dxa" w:w="3324"/>
            <w:shd w:val="clear" w:color="auto" w:fill="1B3A6B"/>
          </w:tcPr>
          <w:p>
            <w:pPr>
              <w:jc w:val="left"/>
            </w:pPr>
            <w:r>
              <w:rPr>
                <w:b/>
                <w:color w:val="C9A84C"/>
                <w:sz w:val="18"/>
              </w:rPr>
              <w:t>VIVRITI CAPITAL</w:t>
            </w:r>
          </w:p>
        </w:tc>
        <w:tc>
          <w:tcPr>
            <w:tcW w:type="dxa" w:w="3324"/>
            <w:shd w:val="clear" w:color="auto" w:fill="1B3A6B"/>
          </w:tcPr>
          <w:p>
            <w:pPr>
              <w:jc w:val="center"/>
            </w:pPr>
            <w:r>
              <w:rPr>
                <w:b/>
                <w:color w:val="FFFFFF"/>
                <w:sz w:val="28"/>
              </w:rPr>
              <w:t>CREDIT APPRAISAL MEMORANDUM</w:t>
              <w:br/>
            </w:r>
            <w:r>
              <w:rPr>
                <w:b/>
                <w:color w:val="C9A84C"/>
                <w:sz w:val="22"/>
              </w:rPr>
              <w:t>Yes Bank</w:t>
            </w:r>
          </w:p>
        </w:tc>
        <w:tc>
          <w:tcPr>
            <w:tcW w:type="dxa" w:w="3324"/>
            <w:shd w:val="clear" w:color="auto" w:fill="1B3A6B"/>
          </w:tcPr>
          <w:p>
            <w:pPr>
              <w:jc w:val="center"/>
            </w:pPr>
            <w:r>
              <w:rPr>
                <w:b/>
                <w:color w:val="D68910"/>
                <w:sz w:val="26"/>
              </w:rPr>
              <w:t>CONDITIONAL_APPROVE</w:t>
              <w:br/>
            </w:r>
            <w:r>
              <w:rPr>
                <w:b/>
                <w:color w:val="FFFFFF"/>
                <w:sz w:val="22"/>
              </w:rPr>
              <w:t>Rating: B</w:t>
            </w:r>
          </w:p>
        </w:tc>
      </w:tr>
    </w:tbl>
    <w:p/>
    <w:p>
      <w:pPr>
        <w:jc w:val="left"/>
      </w:pPr>
      <w:r>
        <w:rPr>
          <w:b/>
          <w:color w:val="1B3A6B"/>
          <w:sz w:val="24"/>
          <w:u w:val="single"/>
        </w:rPr>
        <w:t>EXECUTIVE SUMMARY</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3A6B"/>
          </w:tcPr>
          <w:p>
            <w:pPr>
              <w:jc w:val="center"/>
            </w:pPr>
            <w:r/>
            <w:r>
              <w:rPr>
                <w:b/>
                <w:color w:val="FFFFFF"/>
                <w:sz w:val="18"/>
              </w:rPr>
              <w:t>Credit Score</w:t>
            </w:r>
          </w:p>
        </w:tc>
        <w:tc>
          <w:tcPr>
            <w:tcW w:type="dxa" w:w="1994"/>
            <w:shd w:val="clear" w:color="auto" w:fill="1B3A6B"/>
          </w:tcPr>
          <w:p>
            <w:pPr>
              <w:jc w:val="center"/>
            </w:pPr>
            <w:r/>
            <w:r>
              <w:rPr>
                <w:b/>
                <w:color w:val="FFFFFF"/>
                <w:sz w:val="18"/>
              </w:rPr>
              <w:t>Rating</w:t>
            </w:r>
          </w:p>
        </w:tc>
        <w:tc>
          <w:tcPr>
            <w:tcW w:type="dxa" w:w="1994"/>
            <w:shd w:val="clear" w:color="auto" w:fill="1B3A6B"/>
          </w:tcPr>
          <w:p>
            <w:pPr>
              <w:jc w:val="center"/>
            </w:pPr>
            <w:r/>
            <w:r>
              <w:rPr>
                <w:b/>
                <w:color w:val="FFFFFF"/>
                <w:sz w:val="18"/>
              </w:rPr>
              <w:t>Decision</w:t>
            </w:r>
          </w:p>
        </w:tc>
        <w:tc>
          <w:tcPr>
            <w:tcW w:type="dxa" w:w="1994"/>
            <w:shd w:val="clear" w:color="auto" w:fill="1B3A6B"/>
          </w:tcPr>
          <w:p>
            <w:pPr>
              <w:jc w:val="center"/>
            </w:pPr>
            <w:r/>
            <w:r>
              <w:rPr>
                <w:b/>
                <w:color w:val="FFFFFF"/>
                <w:sz w:val="18"/>
              </w:rPr>
              <w:t>Recommended Amount</w:t>
            </w:r>
          </w:p>
        </w:tc>
        <w:tc>
          <w:tcPr>
            <w:tcW w:type="dxa" w:w="1994"/>
            <w:shd w:val="clear" w:color="auto" w:fill="1B3A6B"/>
          </w:tcPr>
          <w:p>
            <w:pPr>
              <w:jc w:val="center"/>
            </w:pPr>
            <w:r/>
            <w:r>
              <w:rPr>
                <w:b/>
                <w:color w:val="FFFFFF"/>
                <w:sz w:val="18"/>
              </w:rPr>
              <w:t>Interest Rate</w:t>
            </w:r>
          </w:p>
        </w:tc>
      </w:tr>
      <w:tr>
        <w:tc>
          <w:tcPr>
            <w:tcW w:type="dxa" w:w="1994"/>
            <w:shd w:val="clear" w:color="auto" w:fill="E8F0FA"/>
          </w:tcPr>
          <w:p>
            <w:pPr>
              <w:jc w:val="center"/>
            </w:pPr>
            <w:r>
              <w:rPr>
                <w:b/>
              </w:rPr>
              <w:t>59.12/100</w:t>
            </w:r>
          </w:p>
        </w:tc>
        <w:tc>
          <w:tcPr>
            <w:tcW w:type="dxa" w:w="1994"/>
            <w:shd w:val="clear" w:color="auto" w:fill="E8F0FA"/>
          </w:tcPr>
          <w:p>
            <w:pPr>
              <w:jc w:val="center"/>
            </w:pPr>
            <w:r>
              <w:rPr>
                <w:b/>
              </w:rPr>
              <w:t>B</w:t>
            </w:r>
          </w:p>
        </w:tc>
        <w:tc>
          <w:tcPr>
            <w:tcW w:type="dxa" w:w="1994"/>
            <w:shd w:val="clear" w:color="auto" w:fill="E8F0FA"/>
          </w:tcPr>
          <w:p>
            <w:pPr>
              <w:jc w:val="center"/>
            </w:pPr>
            <w:r>
              <w:rPr>
                <w:b/>
              </w:rPr>
              <w:t>CONDITIONAL_APPROVE</w:t>
            </w:r>
          </w:p>
        </w:tc>
        <w:tc>
          <w:tcPr>
            <w:tcW w:type="dxa" w:w="1994"/>
            <w:shd w:val="clear" w:color="auto" w:fill="E8F0FA"/>
          </w:tcPr>
          <w:p>
            <w:pPr>
              <w:jc w:val="center"/>
            </w:pPr>
            <w:r>
              <w:rPr>
                <w:b/>
              </w:rPr>
              <w:t>₹222.0 Cr</w:t>
            </w:r>
          </w:p>
        </w:tc>
        <w:tc>
          <w:tcPr>
            <w:tcW w:type="dxa" w:w="1994"/>
            <w:shd w:val="clear" w:color="auto" w:fill="E8F0FA"/>
          </w:tcPr>
          <w:p>
            <w:pPr>
              <w:jc w:val="center"/>
            </w:pPr>
            <w:r>
              <w:rPr>
                <w:b/>
              </w:rPr>
              <w:t>11.5%</w:t>
            </w:r>
          </w:p>
        </w:tc>
      </w:tr>
    </w:tbl>
    <w:p/>
    <w:p>
      <w:r>
        <w:rPr>
          <w:b/>
        </w:rPr>
        <w:t xml:space="preserve">Decision Rationale: </w:t>
      </w:r>
      <w:r>
        <w:t>Yes Bank receives a 'CONDITIONAL_APPROVE' primarily due to its strong Capital (80) and Collateral (85) scores, supported by a healthy capital adequacy ratio of 15.6% and substantial assets with a low net NPA of 0.3%. Despite a modest Capacity score (60) reflected in a 0.6% Return on Assets, the bank's operational stability is bolstered by a supportive regulatory environment, indicated by a Conditions score of 75. However, the significantly lower Character score (55), impacted by past promoter issues, necessitates strict conditions to mitigate residual risk.</w:t>
      </w:r>
    </w:p>
    <w:p>
      <w:r>
        <w:rPr>
          <w:b/>
        </w:rPr>
        <w:t xml:space="preserve">Key Conditions: </w:t>
      </w:r>
      <w:r>
        <w:t>Yes Bank must provide a detailed quarterly report on the utilization of the loan funds, specifically tracking allocation to digital infrastructure, branch expansion, and MSME/retail lending, along with a performance update on these segments.; Maintain a Capital Adequacy Ratio (CAR) of at least 15% and Net Non-Performing Assets (NNPA) below 0.5% throughout the loan tenure, with Vivriti Capital retaining the right to request additional collateral or impose stricter covenants if these thresholds are breached.; Vivriti Capital will require first charge on specific digital banking infrastructure assets or a pari-passu charge on other unencumbered assets, equivalent to the loan amount, to secure the facility.</w:t>
      </w:r>
    </w:p>
    <w:p/>
    <w:p>
      <w:r>
        <w:rPr>
          <w:b/>
        </w:rPr>
        <w:t xml:space="preserve">Date of Appraisal: </w:t>
      </w:r>
      <w:r>
        <w:t>08 March 2026</w:t>
      </w:r>
      <w:r>
        <w:rPr>
          <w:b/>
        </w:rPr>
        <w:t xml:space="preserve">   |   Loan Purpose: </w:t>
      </w:r>
      <w:r>
        <w:t>Expansion of digital banking infrastructure, branch network expansion, and lending capacity enhancement for MSME and retail segments.</w:t>
      </w:r>
    </w:p>
    <w:p>
      <w:pPr>
        <w:jc w:val="left"/>
      </w:pPr>
      <w:r>
        <w:rPr>
          <w:b/>
          <w:color w:val="1B3A6B"/>
          <w:sz w:val="24"/>
          <w:u w:val="single"/>
        </w:rPr>
        <w:t>COMPANY BACKGROUND</w:t>
      </w:r>
    </w:p>
    <w:p/>
    <w:tbl>
      <w:tblPr>
        <w:tblStyle w:val="TableGrid"/>
        <w:tblW w:type="auto" w:w="0"/>
        <w:tblLook w:firstColumn="1" w:firstRow="1" w:lastColumn="0" w:lastRow="0" w:noHBand="0" w:noVBand="1" w:val="04A0"/>
      </w:tblPr>
      <w:tblGrid>
        <w:gridCol w:w="2880"/>
        <w:gridCol w:w="7200"/>
      </w:tblGrid>
      <w:tr>
        <w:tc>
          <w:tcPr>
            <w:tcW w:type="dxa" w:w="4986"/>
            <w:shd w:val="clear" w:color="auto" w:fill="E8F0FA"/>
          </w:tcPr>
          <w:p>
            <w:r>
              <w:rPr>
                <w:b/>
              </w:rPr>
              <w:t>Company Name</w:t>
            </w:r>
          </w:p>
        </w:tc>
        <w:tc>
          <w:tcPr>
            <w:tcW w:type="dxa" w:w="4986"/>
          </w:tcPr>
          <w:p>
            <w:r>
              <w:t>YES BANK Limited</w:t>
            </w:r>
          </w:p>
        </w:tc>
      </w:tr>
      <w:tr>
        <w:tc>
          <w:tcPr>
            <w:tcW w:type="dxa" w:w="4986"/>
            <w:shd w:val="clear" w:color="auto" w:fill="E8F0FA"/>
          </w:tcPr>
          <w:p>
            <w:r>
              <w:rPr>
                <w:b/>
              </w:rPr>
              <w:t>CIN</w:t>
            </w:r>
          </w:p>
        </w:tc>
        <w:tc>
          <w:tcPr>
            <w:tcW w:type="dxa" w:w="4986"/>
          </w:tcPr>
          <w:p>
            <w:r>
              <w:t>L65190MH2003PLC143249</w:t>
            </w:r>
          </w:p>
        </w:tc>
      </w:tr>
      <w:tr>
        <w:tc>
          <w:tcPr>
            <w:tcW w:type="dxa" w:w="4986"/>
            <w:shd w:val="clear" w:color="auto" w:fill="E8F0FA"/>
          </w:tcPr>
          <w:p>
            <w:r>
              <w:rPr>
                <w:b/>
              </w:rPr>
              <w:t>Entity Type</w:t>
            </w:r>
          </w:p>
        </w:tc>
        <w:tc>
          <w:tcPr>
            <w:tcW w:type="dxa" w:w="4986"/>
          </w:tcPr>
          <w:p>
            <w:r>
              <w:t>BANK</w:t>
            </w:r>
          </w:p>
        </w:tc>
      </w:tr>
      <w:tr>
        <w:tc>
          <w:tcPr>
            <w:tcW w:type="dxa" w:w="4986"/>
            <w:shd w:val="clear" w:color="auto" w:fill="E8F0FA"/>
          </w:tcPr>
          <w:p>
            <w:r>
              <w:rPr>
                <w:b/>
              </w:rPr>
              <w:t>Directors</w:t>
            </w:r>
          </w:p>
        </w:tc>
        <w:tc>
          <w:tcPr>
            <w:tcW w:type="dxa" w:w="4986"/>
          </w:tcPr>
          <w:p>
            <w:r>
              <w:t>Rama Subramaniam Gandhi (Chairman), Managing Director &amp; CEO, Dr. Rajan Pental (Executive Director), Mr. Manish Jain (Executive Director), Rama Subramaniam Gandhi, Dr. Rajan Pental, Mr. Manish Jain</w:t>
            </w:r>
          </w:p>
        </w:tc>
      </w:tr>
      <w:tr>
        <w:tc>
          <w:tcPr>
            <w:tcW w:type="dxa" w:w="4986"/>
            <w:shd w:val="clear" w:color="auto" w:fill="E8F0FA"/>
          </w:tcPr>
          <w:p>
            <w:r>
              <w:rPr>
                <w:b/>
              </w:rPr>
              <w:t>Promoters</w:t>
            </w:r>
          </w:p>
        </w:tc>
        <w:tc>
          <w:tcPr>
            <w:tcW w:type="dxa" w:w="4986"/>
          </w:tcPr>
          <w:p>
            <w:r>
              <w:t>Not extracted</w:t>
            </w:r>
          </w:p>
        </w:tc>
      </w:tr>
      <w:tr>
        <w:tc>
          <w:tcPr>
            <w:tcW w:type="dxa" w:w="4986"/>
            <w:shd w:val="clear" w:color="auto" w:fill="E8F0FA"/>
          </w:tcPr>
          <w:p>
            <w:r>
              <w:rPr>
                <w:b/>
              </w:rPr>
              <w:t>Extraction Notes</w:t>
            </w:r>
          </w:p>
        </w:tc>
        <w:tc>
          <w:tcPr>
            <w:tcW w:type="dxa" w:w="4986"/>
          </w:tcPr>
          <w:p>
            <w:r>
              <w:t>Total Net Income of ₹ 14,801 Cr is taken as Revenue (Total Income) as per the prompt's definition (Interest Earned + Other Income), given its magnitude and context in the 'Key Highlights'. No separate Interest Earned, Interest Expended, or Other Income figures were provided in the snippets. Net Non-Performing Assets (NPA) ratio declining to 0.3% is mentioned, leading to the 'npa_mention' flag.</w:t>
            </w:r>
          </w:p>
        </w:tc>
      </w:tr>
    </w:tbl>
    <w:p/>
    <w:p>
      <w:pPr>
        <w:jc w:val="left"/>
      </w:pPr>
      <w:r>
        <w:rPr>
          <w:b/>
          <w:color w:val="1B3A6B"/>
          <w:sz w:val="24"/>
          <w:u w:val="single"/>
        </w:rPr>
        <w:t>FINANCIAL ANALYSIS</w:t>
      </w:r>
    </w:p>
    <w:p/>
    <w:tbl>
      <w:tblPr>
        <w:tblStyle w:val="TableGrid"/>
        <w:tblW w:type="auto" w:w="0"/>
        <w:tblLook w:firstColumn="1" w:firstRow="1" w:lastColumn="0" w:lastRow="0" w:noHBand="0" w:noVBand="1" w:val="04A0"/>
      </w:tblPr>
      <w:tblGrid>
        <w:gridCol w:w="4986"/>
        <w:gridCol w:w="4986"/>
      </w:tblGrid>
      <w:tr>
        <w:tc>
          <w:tcPr>
            <w:tcW w:type="dxa" w:w="4986"/>
            <w:shd w:val="clear" w:color="auto" w:fill="1B3A6B"/>
          </w:tcPr>
          <w:p>
            <w:r/>
            <w:r>
              <w:rPr>
                <w:b/>
                <w:color w:val="FFFFFF"/>
                <w:sz w:val="20"/>
              </w:rPr>
              <w:t>Metric</w:t>
            </w:r>
          </w:p>
        </w:tc>
        <w:tc>
          <w:tcPr>
            <w:tcW w:type="dxa" w:w="4986"/>
            <w:shd w:val="clear" w:color="auto" w:fill="1B3A6B"/>
          </w:tcPr>
          <w:p>
            <w:r/>
            <w:r>
              <w:rPr>
                <w:b/>
                <w:color w:val="FFFFFF"/>
                <w:sz w:val="20"/>
              </w:rPr>
              <w:t>Value (FY Latest)</w:t>
            </w:r>
          </w:p>
        </w:tc>
      </w:tr>
      <w:tr>
        <w:tc>
          <w:tcPr>
            <w:tcW w:type="dxa" w:w="4986"/>
          </w:tcPr>
          <w:p>
            <w:r>
              <w:t>Total Income</w:t>
            </w:r>
          </w:p>
        </w:tc>
        <w:tc>
          <w:tcPr>
            <w:tcW w:type="dxa" w:w="4986"/>
          </w:tcPr>
          <w:p>
            <w:r>
              <w:t>₹14,801 Cr</w:t>
            </w:r>
          </w:p>
        </w:tc>
      </w:tr>
      <w:tr>
        <w:tc>
          <w:tcPr>
            <w:tcW w:type="dxa" w:w="4986"/>
            <w:shd w:val="clear" w:color="auto" w:fill="F5F5F5"/>
          </w:tcPr>
          <w:p>
            <w:r>
              <w:t>Net Interest Income</w:t>
            </w:r>
          </w:p>
        </w:tc>
        <w:tc>
          <w:tcPr>
            <w:tcW w:type="dxa" w:w="4986"/>
            <w:shd w:val="clear" w:color="auto" w:fill="F5F5F5"/>
          </w:tcPr>
          <w:p>
            <w:r>
              <w:t>N/A</w:t>
            </w:r>
          </w:p>
        </w:tc>
      </w:tr>
      <w:tr>
        <w:tc>
          <w:tcPr>
            <w:tcW w:type="dxa" w:w="4986"/>
          </w:tcPr>
          <w:p>
            <w:r>
              <w:t>Net Interest Margin</w:t>
            </w:r>
          </w:p>
        </w:tc>
        <w:tc>
          <w:tcPr>
            <w:tcW w:type="dxa" w:w="4986"/>
          </w:tcPr>
          <w:p>
            <w:r>
              <w:t>N/A</w:t>
            </w:r>
          </w:p>
        </w:tc>
      </w:tr>
      <w:tr>
        <w:tc>
          <w:tcPr>
            <w:tcW w:type="dxa" w:w="4986"/>
            <w:shd w:val="clear" w:color="auto" w:fill="F5F5F5"/>
          </w:tcPr>
          <w:p>
            <w:r>
              <w:t>Profit After Tax</w:t>
            </w:r>
          </w:p>
        </w:tc>
        <w:tc>
          <w:tcPr>
            <w:tcW w:type="dxa" w:w="4986"/>
            <w:shd w:val="clear" w:color="auto" w:fill="F5F5F5"/>
          </w:tcPr>
          <w:p>
            <w:r>
              <w:t>₹2,406 Cr</w:t>
            </w:r>
          </w:p>
        </w:tc>
      </w:tr>
      <w:tr>
        <w:tc>
          <w:tcPr>
            <w:tcW w:type="dxa" w:w="4986"/>
          </w:tcPr>
          <w:p>
            <w:r>
              <w:t>Total Assets</w:t>
            </w:r>
          </w:p>
        </w:tc>
        <w:tc>
          <w:tcPr>
            <w:tcW w:type="dxa" w:w="4986"/>
          </w:tcPr>
          <w:p>
            <w:r>
              <w:t>₹423,422 Cr</w:t>
            </w:r>
          </w:p>
        </w:tc>
      </w:tr>
      <w:tr>
        <w:tc>
          <w:tcPr>
            <w:tcW w:type="dxa" w:w="4986"/>
            <w:shd w:val="clear" w:color="auto" w:fill="F5F5F5"/>
          </w:tcPr>
          <w:p>
            <w:r>
              <w:t>Total Deposits</w:t>
            </w:r>
          </w:p>
        </w:tc>
        <w:tc>
          <w:tcPr>
            <w:tcW w:type="dxa" w:w="4986"/>
            <w:shd w:val="clear" w:color="auto" w:fill="F5F5F5"/>
          </w:tcPr>
          <w:p>
            <w:r>
              <w:t>₹284,525 Cr</w:t>
            </w:r>
          </w:p>
        </w:tc>
      </w:tr>
      <w:tr>
        <w:tc>
          <w:tcPr>
            <w:tcW w:type="dxa" w:w="4986"/>
          </w:tcPr>
          <w:p>
            <w:r>
              <w:t>Net Worth</w:t>
            </w:r>
          </w:p>
        </w:tc>
        <w:tc>
          <w:tcPr>
            <w:tcW w:type="dxa" w:w="4986"/>
          </w:tcPr>
          <w:p>
            <w:r>
              <w:t>N/A</w:t>
            </w:r>
          </w:p>
        </w:tc>
      </w:tr>
      <w:tr>
        <w:tc>
          <w:tcPr>
            <w:tcW w:type="dxa" w:w="4986"/>
            <w:shd w:val="clear" w:color="auto" w:fill="F5F5F5"/>
          </w:tcPr>
          <w:p>
            <w:r>
              <w:t>Capital Adequacy (CRAR)</w:t>
            </w:r>
          </w:p>
        </w:tc>
        <w:tc>
          <w:tcPr>
            <w:tcW w:type="dxa" w:w="4986"/>
            <w:shd w:val="clear" w:color="auto" w:fill="F5F5F5"/>
          </w:tcPr>
          <w:p>
            <w:r>
              <w:t>15.6%</w:t>
            </w:r>
          </w:p>
        </w:tc>
      </w:tr>
      <w:tr>
        <w:tc>
          <w:tcPr>
            <w:tcW w:type="dxa" w:w="4986"/>
          </w:tcPr>
          <w:p>
            <w:r>
              <w:t>Tier 1 Capital Ratio</w:t>
            </w:r>
          </w:p>
        </w:tc>
        <w:tc>
          <w:tcPr>
            <w:tcW w:type="dxa" w:w="4986"/>
          </w:tcPr>
          <w:p>
            <w:r>
              <w:t>N/A</w:t>
            </w:r>
          </w:p>
        </w:tc>
      </w:tr>
      <w:tr>
        <w:tc>
          <w:tcPr>
            <w:tcW w:type="dxa" w:w="4986"/>
            <w:shd w:val="clear" w:color="auto" w:fill="F5F5F5"/>
          </w:tcPr>
          <w:p>
            <w:r>
              <w:t>Gross NPA</w:t>
            </w:r>
          </w:p>
        </w:tc>
        <w:tc>
          <w:tcPr>
            <w:tcW w:type="dxa" w:w="4986"/>
            <w:shd w:val="clear" w:color="auto" w:fill="F5F5F5"/>
          </w:tcPr>
          <w:p>
            <w:r>
              <w:t>N/A</w:t>
            </w:r>
          </w:p>
        </w:tc>
      </w:tr>
      <w:tr>
        <w:tc>
          <w:tcPr>
            <w:tcW w:type="dxa" w:w="4986"/>
          </w:tcPr>
          <w:p>
            <w:r>
              <w:t>Net NPA</w:t>
            </w:r>
          </w:p>
        </w:tc>
        <w:tc>
          <w:tcPr>
            <w:tcW w:type="dxa" w:w="4986"/>
          </w:tcPr>
          <w:p>
            <w:r>
              <w:t>0.3%</w:t>
            </w:r>
          </w:p>
        </w:tc>
      </w:tr>
      <w:tr>
        <w:tc>
          <w:tcPr>
            <w:tcW w:type="dxa" w:w="4986"/>
            <w:shd w:val="clear" w:color="auto" w:fill="F5F5F5"/>
          </w:tcPr>
          <w:p>
            <w:r>
              <w:t>Provision Coverage Ratio</w:t>
            </w:r>
          </w:p>
        </w:tc>
        <w:tc>
          <w:tcPr>
            <w:tcW w:type="dxa" w:w="4986"/>
            <w:shd w:val="clear" w:color="auto" w:fill="F5F5F5"/>
          </w:tcPr>
          <w:p>
            <w:r>
              <w:t>80.0%</w:t>
            </w:r>
          </w:p>
        </w:tc>
      </w:tr>
      <w:tr>
        <w:tc>
          <w:tcPr>
            <w:tcW w:type="dxa" w:w="4986"/>
          </w:tcPr>
          <w:p>
            <w:r>
              <w:t>Cost-to-Income Ratio</w:t>
            </w:r>
          </w:p>
        </w:tc>
        <w:tc>
          <w:tcPr>
            <w:tcW w:type="dxa" w:w="4986"/>
          </w:tcPr>
          <w:p>
            <w:r>
              <w:t>N/A</w:t>
            </w:r>
          </w:p>
        </w:tc>
      </w:tr>
      <w:tr>
        <w:tc>
          <w:tcPr>
            <w:tcW w:type="dxa" w:w="4986"/>
            <w:shd w:val="clear" w:color="auto" w:fill="F5F5F5"/>
          </w:tcPr>
          <w:p>
            <w:r>
              <w:t>Return on Assets</w:t>
            </w:r>
          </w:p>
        </w:tc>
        <w:tc>
          <w:tcPr>
            <w:tcW w:type="dxa" w:w="4986"/>
            <w:shd w:val="clear" w:color="auto" w:fill="F5F5F5"/>
          </w:tcPr>
          <w:p>
            <w:r>
              <w:t>0.6%</w:t>
            </w:r>
          </w:p>
        </w:tc>
      </w:tr>
      <w:tr>
        <w:tc>
          <w:tcPr>
            <w:tcW w:type="dxa" w:w="4986"/>
          </w:tcPr>
          <w:p>
            <w:r>
              <w:t>Return on Equity</w:t>
            </w:r>
          </w:p>
        </w:tc>
        <w:tc>
          <w:tcPr>
            <w:tcW w:type="dxa" w:w="4986"/>
          </w:tcPr>
          <w:p>
            <w:r>
              <w:t>N/A</w:t>
            </w:r>
          </w:p>
        </w:tc>
      </w:tr>
      <w:tr>
        <w:tc>
          <w:tcPr>
            <w:tcW w:type="dxa" w:w="4986"/>
            <w:shd w:val="clear" w:color="auto" w:fill="F5F5F5"/>
          </w:tcPr>
          <w:p>
            <w:r>
              <w:t>CASA Ratio</w:t>
            </w:r>
          </w:p>
        </w:tc>
        <w:tc>
          <w:tcPr>
            <w:tcW w:type="dxa" w:w="4986"/>
            <w:shd w:val="clear" w:color="auto" w:fill="F5F5F5"/>
          </w:tcPr>
          <w:p>
            <w:r>
              <w:t>34.3%</w:t>
            </w:r>
          </w:p>
        </w:tc>
      </w:tr>
    </w:tbl>
    <w:p/>
    <w:p>
      <w:r>
        <w:rPr>
          <w:b/>
        </w:rPr>
        <w:t xml:space="preserve">⚠ Red Flags Detected: </w:t>
      </w:r>
      <w:r>
        <w:rPr>
          <w:color w:val="C0392B"/>
        </w:rPr>
        <w:t>Npa Mention</w:t>
      </w:r>
    </w:p>
    <w:p/>
    <w:p>
      <w:pPr>
        <w:jc w:val="left"/>
      </w:pPr>
      <w:r>
        <w:rPr>
          <w:b/>
          <w:color w:val="1B3A6B"/>
          <w:sz w:val="24"/>
          <w:u w:val="single"/>
        </w:rPr>
        <w:t>FIVE Cs OF CREDIT ASSESSMENT</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A6B"/>
          </w:tcPr>
          <w:p>
            <w:r/>
            <w:r>
              <w:rPr>
                <w:b/>
                <w:color w:val="FFFFFF"/>
                <w:sz w:val="20"/>
              </w:rPr>
              <w:t>C</w:t>
            </w:r>
          </w:p>
        </w:tc>
        <w:tc>
          <w:tcPr>
            <w:tcW w:type="dxa" w:w="2493"/>
            <w:shd w:val="clear" w:color="auto" w:fill="1B3A6B"/>
          </w:tcPr>
          <w:p>
            <w:r/>
            <w:r>
              <w:rPr>
                <w:b/>
                <w:color w:val="FFFFFF"/>
                <w:sz w:val="20"/>
              </w:rPr>
              <w:t>Score</w:t>
            </w:r>
          </w:p>
        </w:tc>
        <w:tc>
          <w:tcPr>
            <w:tcW w:type="dxa" w:w="2493"/>
            <w:shd w:val="clear" w:color="auto" w:fill="1B3A6B"/>
          </w:tcPr>
          <w:p>
            <w:r/>
            <w:r>
              <w:rPr>
                <w:b/>
                <w:color w:val="FFFFFF"/>
                <w:sz w:val="20"/>
              </w:rPr>
              <w:t>Weight</w:t>
            </w:r>
          </w:p>
        </w:tc>
        <w:tc>
          <w:tcPr>
            <w:tcW w:type="dxa" w:w="2493"/>
            <w:shd w:val="clear" w:color="auto" w:fill="1B3A6B"/>
          </w:tcPr>
          <w:p>
            <w:r/>
            <w:r>
              <w:rPr>
                <w:b/>
                <w:color w:val="FFFFFF"/>
                <w:sz w:val="20"/>
              </w:rPr>
              <w:t>Rationale</w:t>
            </w:r>
          </w:p>
        </w:tc>
      </w:tr>
      <w:tr>
        <w:tc>
          <w:tcPr>
            <w:tcW w:type="dxa" w:w="2493"/>
          </w:tcPr>
          <w:p>
            <w:r>
              <w:rPr>
                <w:b/>
              </w:rPr>
              <w:t>👤 Character</w:t>
            </w:r>
          </w:p>
        </w:tc>
        <w:tc>
          <w:tcPr>
            <w:tcW w:type="dxa" w:w="2493"/>
          </w:tcPr>
          <w:p>
            <w:r>
              <w:t>55</w:t>
            </w:r>
          </w:p>
        </w:tc>
        <w:tc>
          <w:tcPr>
            <w:tcW w:type="dxa" w:w="2493"/>
          </w:tcPr>
          <w:p>
            <w:r>
              <w:t>25%</w:t>
            </w:r>
          </w:p>
        </w:tc>
        <w:tc>
          <w:tcPr>
            <w:tcW w:type="dxa" w:w="2493"/>
          </w:tcPr>
          <w:p>
            <w:r>
              <w:t>Promoter background indicates a 'Poor' reputation and 'High' risk level associated with the founder, Rana Kapoor, linked to the 'collapse' of Yes Bank. However, the current entity's 'promoters' field is empty, and the current setup shows no explicit criminal cases, wilful defaulter status, SFIO investigation, or current RBI directions.</w:t>
            </w:r>
          </w:p>
        </w:tc>
      </w:tr>
      <w:tr>
        <w:tc>
          <w:tcPr>
            <w:tcW w:type="dxa" w:w="2493"/>
            <w:shd w:val="clear" w:color="auto" w:fill="E8F0FA"/>
          </w:tcPr>
          <w:p>
            <w:r>
              <w:rPr>
                <w:b/>
              </w:rPr>
              <w:t>💰 Capacity</w:t>
            </w:r>
          </w:p>
        </w:tc>
        <w:tc>
          <w:tcPr>
            <w:tcW w:type="dxa" w:w="2493"/>
            <w:shd w:val="clear" w:color="auto" w:fill="E8F0FA"/>
          </w:tcPr>
          <w:p>
            <w:r>
              <w:t>60</w:t>
            </w:r>
          </w:p>
        </w:tc>
        <w:tc>
          <w:tcPr>
            <w:tcW w:type="dxa" w:w="2493"/>
            <w:shd w:val="clear" w:color="auto" w:fill="E8F0FA"/>
          </w:tcPr>
          <w:p>
            <w:r>
              <w:t>30%</w:t>
            </w:r>
          </w:p>
        </w:tc>
        <w:tc>
          <w:tcPr>
            <w:tcW w:type="dxa" w:w="2493"/>
            <w:shd w:val="clear" w:color="auto" w:fill="E8F0FA"/>
          </w:tcPr>
          <w:p>
            <w:r>
              <w:t>The bank reported a `profit_after_tax_crores` of 2406 Cr on `revenue_crores` of 14801 Cr, with a `return_on_assets_percent` of 0.6%, indicating modest profitability. Asset quality is strong with `net_npa_percent` at 0.3%, which supports future earnings stability.</w:t>
            </w:r>
          </w:p>
        </w:tc>
      </w:tr>
      <w:tr>
        <w:tc>
          <w:tcPr>
            <w:tcW w:type="dxa" w:w="2493"/>
          </w:tcPr>
          <w:p>
            <w:r>
              <w:rPr>
                <w:b/>
              </w:rPr>
              <w:t>🏛️ Capital</w:t>
            </w:r>
          </w:p>
        </w:tc>
        <w:tc>
          <w:tcPr>
            <w:tcW w:type="dxa" w:w="2493"/>
          </w:tcPr>
          <w:p>
            <w:r>
              <w:t>80</w:t>
            </w:r>
          </w:p>
        </w:tc>
        <w:tc>
          <w:tcPr>
            <w:tcW w:type="dxa" w:w="2493"/>
          </w:tcPr>
          <w:p>
            <w:r>
              <w:t>20%</w:t>
            </w:r>
          </w:p>
        </w:tc>
        <w:tc>
          <w:tcPr>
            <w:tcW w:type="dxa" w:w="2493"/>
          </w:tcPr>
          <w:p>
            <w:r>
              <w:t>Capital adequacy is strong with a `capital_adequacy_ratio_percent` of 15.6%, falling within the adequately capitalised anchor (12-16%). Further confidence is demonstrated by the RBI clearing Sumitomo Mitsui Banking Corporation (SMBC) to acquire a significant stake of up to 24.99%.</w:t>
            </w:r>
          </w:p>
        </w:tc>
      </w:tr>
      <w:tr>
        <w:tc>
          <w:tcPr>
            <w:tcW w:type="dxa" w:w="2493"/>
            <w:shd w:val="clear" w:color="auto" w:fill="E8F0FA"/>
          </w:tcPr>
          <w:p>
            <w:r>
              <w:rPr>
                <w:b/>
              </w:rPr>
              <w:t>🔒 Collateral</w:t>
            </w:r>
          </w:p>
        </w:tc>
        <w:tc>
          <w:tcPr>
            <w:tcW w:type="dxa" w:w="2493"/>
            <w:shd w:val="clear" w:color="auto" w:fill="E8F0FA"/>
          </w:tcPr>
          <w:p>
            <w:r>
              <w:t>85</w:t>
            </w:r>
          </w:p>
        </w:tc>
        <w:tc>
          <w:tcPr>
            <w:tcW w:type="dxa" w:w="2493"/>
            <w:shd w:val="clear" w:color="auto" w:fill="E8F0FA"/>
          </w:tcPr>
          <w:p>
            <w:r>
              <w:t>15%</w:t>
            </w:r>
          </w:p>
        </w:tc>
        <w:tc>
          <w:tcPr>
            <w:tcW w:type="dxa" w:w="2493"/>
            <w:shd w:val="clear" w:color="auto" w:fill="E8F0FA"/>
          </w:tcPr>
          <w:p>
            <w:r>
              <w:t>The bank possesses a substantial `total_assets_crores` of 423422.0 Cr. Asset quality is excellent, as evidenced by a low `net_npa_percent` of 0.3% and a robust `provision_coverage_ratio_percent` of 80.0%.</w:t>
            </w:r>
          </w:p>
        </w:tc>
      </w:tr>
      <w:tr>
        <w:tc>
          <w:tcPr>
            <w:tcW w:type="dxa" w:w="2493"/>
          </w:tcPr>
          <w:p>
            <w:r>
              <w:rPr>
                <w:b/>
              </w:rPr>
              <w:t>🌍 Conditions</w:t>
            </w:r>
          </w:p>
        </w:tc>
        <w:tc>
          <w:tcPr>
            <w:tcW w:type="dxa" w:w="2493"/>
          </w:tcPr>
          <w:p>
            <w:r>
              <w:t>75</w:t>
            </w:r>
          </w:p>
        </w:tc>
        <w:tc>
          <w:tcPr>
            <w:tcW w:type="dxa" w:w="2493"/>
          </w:tcPr>
          <w:p>
            <w:r>
              <w:t>10%</w:t>
            </w:r>
          </w:p>
        </w:tc>
        <w:tc>
          <w:tcPr>
            <w:tcW w:type="dxa" w:w="2493"/>
          </w:tcPr>
          <w:p>
            <w:r>
              <w:t>The Indian banking sector operates under a stable and supportive regulatory environment, as indicated by the absence of specific `rbi_directions` for Yes Bank and the RBI's approval for Sumitomo Mitsui Banking Corporation (SMBC) to acquire a significant stake.</w:t>
            </w:r>
          </w:p>
        </w:tc>
      </w:tr>
    </w:tbl>
    <w:p/>
    <w:p>
      <w:r>
        <w:rPr>
          <w:b/>
        </w:rPr>
        <w:t xml:space="preserve">Weighted Score: </w:t>
      </w:r>
      <w:r>
        <w:t>68.0/100</w:t>
      </w:r>
      <w:r>
        <w:t xml:space="preserve">   |   </w:t>
      </w:r>
      <w:r>
        <w:rPr>
          <w:b/>
        </w:rPr>
        <w:t xml:space="preserve">Penalty Applied: </w:t>
      </w:r>
      <w:r>
        <w:t>12.8 points</w:t>
      </w:r>
      <w:r>
        <w:t xml:space="preserve">   |   </w:t>
      </w:r>
      <w:r>
        <w:rPr>
          <w:b/>
        </w:rPr>
        <w:t xml:space="preserve">Final Score: </w:t>
      </w:r>
      <w:r>
        <w:t>55.2/100</w:t>
      </w:r>
    </w:p>
    <w:p/>
    <w:p>
      <w:pPr>
        <w:jc w:val="left"/>
      </w:pPr>
      <w:r>
        <w:rPr>
          <w:b/>
          <w:color w:val="1B3A6B"/>
          <w:sz w:val="24"/>
          <w:u w:val="single"/>
        </w:rPr>
        <w:t>SECONDARY RESEARCH INTELLIGENCE</w:t>
      </w:r>
    </w:p>
    <w:p/>
    <w:p>
      <w:r>
        <w:rPr>
          <w:b/>
        </w:rPr>
        <w:t xml:space="preserve">Company News: </w:t>
      </w:r>
      <w:r>
        <w:t>Yes Bank shows mixed signals in recent company news. A significant positive is the RBI's approval for Sumitomo Mitsui Banking Corporation (SMBC) to acquire a substantial stake, reflecting external confidence and potential capital infusion. The bank is also engaging in new business initiatives. However, the share price has experienced a notable decline of 29.20% over the past year, although it has seen a recent gain in the last three months, suggesting ongoing market volatility.</w:t>
      </w:r>
    </w:p>
    <w:p/>
    <w:p>
      <w:r>
        <w:rPr>
          <w:b/>
        </w:rPr>
        <w:t xml:space="preserve">Promoter Background: </w:t>
      </w:r>
      <w:r>
        <w:t>The founder promoter, Rana Kapoor, is associated with the 'collapse' of Yes Bank, with allegations of 'running amok' and treating the bank as a 'private company.' While his personal website attempts to portray him positively, the critical assessment points to severe governance failures in the past. Current leadership includes Rama Subramaniam Gandhi (Non-Executive, Part-time chairman, Independent Director) and Prashant Kumar (MD &amp; CEO), who were recommended for appointment by the alternate Board. Based solely on the provided text, there is no explicit mention of current criminal cases, wilful defaulter status, or SFIO investigation for the current management or founder, however, the historical conduct of the founder promoter presents a significant reputational and governance risk.</w:t>
      </w:r>
    </w:p>
    <w:p/>
    <w:p>
      <w:r>
        <w:rPr>
          <w:b/>
        </w:rPr>
        <w:t xml:space="preserve">Sector Headwinds: </w:t>
      </w:r>
      <w:r>
        <w:t>The Indian financial sector, including banking, is described as being at an 'inflection point,' navigating 'digital headwinds and regulatory shifts.' The RBI reportedly undertook a 'massive financial system overhaul' in 2025, introducing 'over 80 regulatory changes' aimed at 'reviving' the sector. This suggests the sector is stressed or undergoing significant structural adjustments. New regulatory focuses include sustainability goals and climate risk management, which will require financial institutions to adapt. This dynamic and evolving environment presents medium lending risk due to potential compliance burdens and operational adjustments, although it may also lead to a healthier, more resilient sector in the long term.</w:t>
      </w:r>
    </w:p>
    <w:p/>
    <w:p>
      <w:r>
        <w:rPr>
          <w:b/>
        </w:rPr>
        <w:t xml:space="preserve">Litigation: </w:t>
      </w:r>
      <w:r>
        <w:t>Yes Bank is involved in some legal proceedings, primarily as a creditor. It is a party to an Arbitration Petition (Yes Bank Limited vs. Ajeet Kumar), which is a common mechanism for banks to recover dues or resolve commercial disputes. The bank is also mentioned in NCLT proceedings (CP(IB)) where its charge is subordinate in a case related to 'Bank of Baroda vs. Ajit Kumar', indicating its involvement as a financial creditor in a debt recovery context. There are no indications of insolvency or CIRP proceedings initiated *against* Yes Bank itself. The overall litigation risk is considered medium as these appear to be standard banking-related recovery or commercial dispute cases rather than high-risk proceedings against the bank's solvency.</w:t>
      </w:r>
    </w:p>
    <w:p/>
    <w:p>
      <w:r>
        <w:rPr>
          <w:b/>
        </w:rPr>
        <w:t xml:space="preserve">Regulatory: </w:t>
      </w:r>
      <w:r>
        <w:t>There are no specific SEBI or RBI enforcement actions, settlement orders, or penalties reported directly against Yes Bank in the provided intelligence. General information indicates that the RBI executed a 'massive financial system overhaul' in 2025, introducing 'over 80 regulatory changes' and encouraging institutions to align with sustainability goals and climate risk management. While these indicate a dynamic regulatory environment, no specific adverse regulatory actions against Yes Bank were found.</w:t>
      </w:r>
    </w:p>
    <w:p/>
    <w:p>
      <w:r>
        <w:rPr>
          <w:b/>
        </w:rPr>
        <w:t xml:space="preserve">MCA Signals: </w:t>
      </w:r>
      <w:r>
        <w:t>There are no specific adverse MCA signals for Yes Bank. A general extension for financial statement and annual return filing for FY 2024-25 due to MCA portal issues is noted, but this is not a default specific to Yes Bank. No information on director disqualification, filing defaults, or charge satisfaction issues for Yes Bank was found in the provided sources.</w:t>
      </w:r>
    </w:p>
    <w:p/>
    <w:p>
      <w:r>
        <w:rPr>
          <w:b/>
        </w:rPr>
        <w:t xml:space="preserve">Overall Research Rating: </w:t>
      </w:r>
      <w:r>
        <w:t>B — Proceed</w:t>
      </w:r>
    </w:p>
    <w:p>
      <w:r>
        <w:rPr>
          <w:b/>
        </w:rPr>
        <w:t xml:space="preserve">Top Risks Identified: </w:t>
      </w:r>
      <w:r>
        <w:t>Historical promoter conduct: Severe governance issues associated with the founder promoter, Rana Kapoor, which led to the bank's collapse.; Share price volatility: Significant depreciation (29.20% over past year) indicating ongoing market concerns.; Sectoral regulatory shifts: Broad regulatory overhaul and new compliance requirements (e.g., climate risk management) presenting an evolving operational landscape.</w:t>
      </w:r>
    </w:p>
    <w:p/>
    <w:p>
      <w:pPr>
        <w:jc w:val="left"/>
      </w:pPr>
      <w:r>
        <w:rPr>
          <w:b/>
          <w:color w:val="1B3A6B"/>
          <w:sz w:val="24"/>
          <w:u w:val="single"/>
        </w:rPr>
        <w:t>CROSS-DOCUMENT FRAUD INTELLIGENCE</w:t>
      </w:r>
    </w:p>
    <w:p/>
    <w:p>
      <w:r>
        <w:t>Single document uploaded — cross-reference skipped. Upload GST filing or bank statement alongside annual report for fraud detection.</w:t>
      </w:r>
    </w:p>
    <w:p/>
    <w:p>
      <w:pPr>
        <w:jc w:val="left"/>
      </w:pPr>
      <w:r>
        <w:rPr>
          <w:b/>
          <w:color w:val="1B3A6B"/>
          <w:sz w:val="24"/>
          <w:u w:val="single"/>
        </w:rPr>
        <w:t>FINAL RECOMMENDATION</w:t>
      </w:r>
    </w:p>
    <w:p/>
    <w:tbl>
      <w:tblPr>
        <w:tblW w:type="auto" w:w="0"/>
        <w:tblLook w:firstColumn="1" w:firstRow="1" w:lastColumn="0" w:lastRow="0" w:noHBand="0" w:noVBand="1" w:val="04A0"/>
      </w:tblPr>
      <w:tblGrid>
        <w:gridCol w:w="9972"/>
      </w:tblGrid>
      <w:tr>
        <w:tc>
          <w:tcPr>
            <w:tcW w:type="dxa" w:w="9972"/>
            <w:shd w:val="clear" w:color="auto" w:fill="D68910"/>
          </w:tcPr>
          <w:p>
            <w:pPr>
              <w:jc w:val="center"/>
            </w:pPr>
            <w:r>
              <w:rPr>
                <w:b/>
                <w:color w:val="FFFFFF"/>
                <w:sz w:val="28"/>
              </w:rPr>
              <w:t>RECOMMENDATION: CONDITIONAL_APPROVE</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E8F0FA"/>
          </w:tcPr>
          <w:p>
            <w:r>
              <w:rPr>
                <w:b/>
              </w:rPr>
              <w:t>Decision</w:t>
            </w:r>
          </w:p>
        </w:tc>
        <w:tc>
          <w:tcPr>
            <w:tcW w:type="dxa" w:w="4986"/>
          </w:tcPr>
          <w:p>
            <w:r>
              <w:t>CONDITIONAL_APPROVE</w:t>
            </w:r>
          </w:p>
        </w:tc>
      </w:tr>
      <w:tr>
        <w:tc>
          <w:tcPr>
            <w:tcW w:type="dxa" w:w="4986"/>
            <w:shd w:val="clear" w:color="auto" w:fill="E8F0FA"/>
          </w:tcPr>
          <w:p>
            <w:r>
              <w:rPr>
                <w:b/>
              </w:rPr>
              <w:t>Credit Rating</w:t>
            </w:r>
          </w:p>
        </w:tc>
        <w:tc>
          <w:tcPr>
            <w:tcW w:type="dxa" w:w="4986"/>
          </w:tcPr>
          <w:p>
            <w:r>
              <w:t>B</w:t>
            </w:r>
          </w:p>
        </w:tc>
      </w:tr>
      <w:tr>
        <w:tc>
          <w:tcPr>
            <w:tcW w:type="dxa" w:w="4986"/>
            <w:shd w:val="clear" w:color="auto" w:fill="E8F0FA"/>
          </w:tcPr>
          <w:p>
            <w:r>
              <w:rPr>
                <w:b/>
              </w:rPr>
              <w:t>Credit Score</w:t>
            </w:r>
          </w:p>
        </w:tc>
        <w:tc>
          <w:tcPr>
            <w:tcW w:type="dxa" w:w="4986"/>
          </w:tcPr>
          <w:p>
            <w:r>
              <w:t>59.12/100</w:t>
            </w:r>
          </w:p>
        </w:tc>
      </w:tr>
      <w:tr>
        <w:tc>
          <w:tcPr>
            <w:tcW w:type="dxa" w:w="4986"/>
            <w:shd w:val="clear" w:color="auto" w:fill="E8F0FA"/>
          </w:tcPr>
          <w:p>
            <w:r>
              <w:rPr>
                <w:b/>
              </w:rPr>
              <w:t>Recommended Amount</w:t>
            </w:r>
          </w:p>
        </w:tc>
        <w:tc>
          <w:tcPr>
            <w:tcW w:type="dxa" w:w="4986"/>
          </w:tcPr>
          <w:p>
            <w:r>
              <w:t>₹222.0 Cr</w:t>
            </w:r>
          </w:p>
        </w:tc>
      </w:tr>
      <w:tr>
        <w:tc>
          <w:tcPr>
            <w:tcW w:type="dxa" w:w="4986"/>
            <w:shd w:val="clear" w:color="auto" w:fill="E8F0FA"/>
          </w:tcPr>
          <w:p>
            <w:r>
              <w:rPr>
                <w:b/>
              </w:rPr>
              <w:t>Interest Rate</w:t>
            </w:r>
          </w:p>
        </w:tc>
        <w:tc>
          <w:tcPr>
            <w:tcW w:type="dxa" w:w="4986"/>
          </w:tcPr>
          <w:p>
            <w:r>
              <w:t>11.5%</w:t>
            </w:r>
          </w:p>
        </w:tc>
      </w:tr>
      <w:tr>
        <w:tc>
          <w:tcPr>
            <w:tcW w:type="dxa" w:w="4986"/>
            <w:shd w:val="clear" w:color="auto" w:fill="E8F0FA"/>
          </w:tcPr>
          <w:p>
            <w:r>
              <w:rPr>
                <w:b/>
              </w:rPr>
              <w:t>Tenure</w:t>
            </w:r>
          </w:p>
        </w:tc>
        <w:tc>
          <w:tcPr>
            <w:tcW w:type="dxa" w:w="4986"/>
          </w:tcPr>
          <w:p>
            <w:r>
              <w:t>60 months</w:t>
            </w:r>
          </w:p>
        </w:tc>
      </w:tr>
    </w:tbl>
    <w:p/>
    <w:p>
      <w:r>
        <w:rPr>
          <w:b/>
        </w:rPr>
        <w:t xml:space="preserve">Rationale: </w:t>
      </w:r>
      <w:r>
        <w:t>Yes Bank receives a 'CONDITIONAL_APPROVE' primarily due to its strong Capital (80) and Collateral (85) scores, supported by a healthy capital adequacy ratio of 15.6% and substantial assets with a low net NPA of 0.3%. Despite a modest Capacity score (60) reflected in a 0.6% Return on Assets, the bank's operational stability is bolstered by a supportive regulatory environment, indicated by a Conditions score of 75. However, the significantly lower Character score (55), impacted by past promoter issues, necessitates strict conditions to mitigate residual risk.</w:t>
      </w:r>
    </w:p>
    <w:p/>
    <w:p>
      <w:r>
        <w:rPr>
          <w:b/>
        </w:rPr>
        <w:t>Conditions Precedent:</w:t>
      </w:r>
    </w:p>
    <w:p>
      <w:pPr>
        <w:pStyle w:val="ListBullet"/>
      </w:pPr>
      <w:r>
        <w:t>Yes Bank must provide a detailed quarterly report on the utilization of the loan funds, specifically tracking allocation to digital infrastructure, branch expansion, and MSME/retail lending, along with a performance update on these segments.</w:t>
      </w:r>
    </w:p>
    <w:p>
      <w:pPr>
        <w:pStyle w:val="ListBullet"/>
      </w:pPr>
      <w:r>
        <w:t>Maintain a Capital Adequacy Ratio (CAR) of at least 15% and Net Non-Performing Assets (NNPA) below 0.5% throughout the loan tenure, with Vivriti Capital retaining the right to request additional collateral or impose stricter covenants if these thresholds are breached.</w:t>
      </w:r>
    </w:p>
    <w:p>
      <w:pPr>
        <w:pStyle w:val="ListBullet"/>
      </w:pPr>
      <w:r>
        <w:t>Vivriti Capital will require first charge on specific digital banking infrastructure assets or a pari-passu charge on other unencumbered assets, equivalent to the loan amount, to secure the facility.</w:t>
      </w:r>
    </w:p>
    <w:p/>
    <w:p>
      <w:r>
        <w:rPr>
          <w:i/>
          <w:sz w:val="16"/>
        </w:rPr>
        <w:t>Disclaimer: This Credit Appraisal Memo has been prepared using AI-assisted analysis by Intelli-Credit (DOMINIX). All recommendations are subject to review and approval by authorized credit officers as per Vivriti Capital's credit policy.</w:t>
      </w:r>
    </w:p>
    <w:p/>
    <w:p>
      <w:pPr>
        <w:jc w:val="center"/>
      </w:pPr>
      <w:r>
        <w:rPr>
          <w:color w:val="1B3A6B"/>
          <w:sz w:val="16"/>
        </w:rPr>
        <w:t>Intelli-Credit by DOMINIX  ·  Vivriti Capital Hackathon 2026  ·  Generated: 08 Mar 2026 16:47</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