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C0392B"/>
                <w:sz w:val="26"/>
              </w:rPr>
              <w:t>REJECT</w:t>
              <w:br/>
            </w:r>
            <w:r>
              <w:rPr>
                <w:b/>
                <w:color w:val="FFFFFF"/>
                <w:sz w:val="22"/>
              </w:rPr>
              <w:t>Rating: BB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65.92/100</w:t>
            </w:r>
          </w:p>
        </w:tc>
        <w:tc>
          <w:tcPr>
            <w:tcW w:type="dxa" w:w="1994"/>
            <w:shd w:val="clear" w:color="auto" w:fill="E8F0FA"/>
          </w:tcPr>
          <w:p>
            <w:pPr>
              <w:jc w:val="center"/>
            </w:pPr>
            <w:r>
              <w:rPr>
                <w:b/>
              </w:rPr>
              <w:t>BB</w:t>
            </w:r>
          </w:p>
        </w:tc>
        <w:tc>
          <w:tcPr>
            <w:tcW w:type="dxa" w:w="1994"/>
            <w:shd w:val="clear" w:color="auto" w:fill="E8F0FA"/>
          </w:tcPr>
          <w:p>
            <w:pPr>
              <w:jc w:val="center"/>
            </w:pPr>
            <w:r>
              <w:rPr>
                <w:b/>
              </w:rPr>
              <w:t>REJECT</w:t>
            </w:r>
          </w:p>
        </w:tc>
        <w:tc>
          <w:tcPr>
            <w:tcW w:type="dxa" w:w="1994"/>
            <w:shd w:val="clear" w:color="auto" w:fill="E8F0FA"/>
          </w:tcPr>
          <w:p>
            <w:pPr>
              <w:jc w:val="center"/>
            </w:pPr>
            <w:r>
              <w:rPr>
                <w:b/>
              </w:rPr>
              <w:t>₹0 Cr</w:t>
            </w:r>
          </w:p>
        </w:tc>
        <w:tc>
          <w:tcPr>
            <w:tcW w:type="dxa" w:w="1994"/>
            <w:shd w:val="clear" w:color="auto" w:fill="E8F0FA"/>
          </w:tcPr>
          <w:p>
            <w:pPr>
              <w:jc w:val="center"/>
            </w:pPr>
            <w:r>
              <w:rPr>
                <w:b/>
              </w:rPr>
              <w:t>N/A</w:t>
            </w:r>
          </w:p>
        </w:tc>
      </w:tr>
    </w:tbl>
    <w:p/>
    <w:p>
      <w:r>
        <w:rPr>
          <w:b/>
        </w:rPr>
        <w:t xml:space="preserve">Decision Rationale: </w:t>
      </w:r>
      <w:r>
        <w:t>Blended score 65.92/100 with rating BB. Five-Cs weighted score after penalties: 49.25. Entity type assessed as corporate. Recommendation is REJECT based on calibrated thresholds and policy floors.</w:t>
      </w:r>
    </w:p>
    <w:p/>
    <w:p>
      <w:r>
        <w:rPr>
          <w:b/>
        </w:rPr>
        <w:t xml:space="preserve">Date of Appraisal: </w:t>
      </w:r>
      <w:r>
        <w:t>21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Robust Financial Performance and Capital Structure: Consolidated revenue of ₹439,695 Crores, PAT of ₹28,149 Crores, and EBITDA of ₹57,649 Crores in FY25, coupled with zero total borrowings and a 0.0 Debt-Equity Ratio, reflect exceptional financial health and a strong capital base of ₹116,144 Crores net worth.</w:t>
            </w:r>
          </w:p>
          <w:p>
            <w:pPr>
              <w:pStyle w:val="ListBullet"/>
              <w:ind w:left="288"/>
            </w:pPr>
            <w:r>
              <w:t>• Strong and Upgraded Credit Ratings: Receipt of upgraded and stable credit ratings from CARE (AA+, Stable) and CRISIL (AA+, Positive) indicates robust financial and operational profiles, enhancing market confidence and reflecting favorable conditions.</w:t>
            </w:r>
          </w:p>
          <w:p>
            <w:pPr>
              <w:pStyle w:val="ListBullet"/>
              <w:ind w:left="288"/>
            </w:pPr>
            <w:r>
              <w:t>• Strong Operational Profitability: An EBITDA margin of 13.1% demonstrates healthy operational efficiency and profitability.</w:t>
            </w:r>
          </w:p>
          <w:p>
            <w:pPr>
              <w:pStyle w:val="ListBullet"/>
              <w:ind w:left="288"/>
            </w:pPr>
            <w:r>
              <w:t>• Low MCA Risk and Unencumbered Assets: Explicitly stated low MCA risk with no director disqualifications, filing defaults, or pending charge satisfactions, alongside no reported charges, indicates strong corporate governance and a substantial base of unencumbered assets.</w:t>
            </w:r>
          </w:p>
          <w:p>
            <w:pPr>
              <w:pStyle w:val="ListBullet"/>
              <w:ind w:left="288"/>
            </w:pPr>
            <w:r>
              <w:t>• Favorable Operating Conditions and Positive Sentiment: The overall positive sentiment in company news and favorable external credit ratings reflect a conducive market and operating environment.</w:t>
            </w:r>
          </w:p>
        </w:tc>
        <w:tc>
          <w:tcPr>
            <w:tcW w:type="dxa" w:w="4986"/>
            <w:shd w:val="clear" w:color="auto" w:fill="F5F5F5"/>
          </w:tcPr>
          <w:p>
            <w:r>
              <w:rPr>
                <w:b/>
                <w:color w:val="C0392B"/>
              </w:rPr>
              <w:t xml:space="preserve"> WEAKNESSES</w:t>
            </w:r>
          </w:p>
          <w:p>
            <w:pPr>
              <w:pStyle w:val="ListBullet"/>
              <w:ind w:left="288"/>
            </w:pPr>
            <w:r>
              <w:t>• High Concentration Risk on JLR: Significant reliance on the JLR subsidiary, which contributed approximately 71% of consolidated revenue and 80% of consolidated PBT in FY25, exposes the company to segment-specific and geographical risks.</w:t>
            </w:r>
          </w:p>
          <w:p>
            <w:pPr>
              <w:pStyle w:val="ListBullet"/>
              <w:ind w:left="288"/>
            </w:pPr>
            <w:r>
              <w:t>• Operational Inefficiencies: The factory operating at only 40% capacity with significant idle machinery suggests substantial underutilization and potential for increased costs, impacting overall capacity.</w:t>
            </w:r>
          </w:p>
          <w:p>
            <w:pPr>
              <w:pStyle w:val="ListBullet"/>
              <w:ind w:left="288"/>
            </w:pPr>
            <w:r>
              <w:t>• Concerns over Financial Integrity and Transparency: Manual field notes indicate management was evasive about ₹450 Crores of subsidiary debt not reflected in annual reports and a revenue mismatch of ₹80 Crores (GST filings lower than reported), raising concerns about completeness and accuracy of financial disclosures.</w:t>
            </w:r>
          </w:p>
          <w:p>
            <w:pPr>
              <w:pStyle w:val="ListBullet"/>
              <w:ind w:left="288"/>
            </w:pPr>
            <w:r>
              <w:t>• Severe Integrity Concerns (Character Risk): Suspected wilful default on previous NBFC loans and detection of round-tripping of funds through related parties, as per manual field notes, indicate significant integrity issues and undermine the promoter's background and credibility (character score of 50).</w:t>
            </w:r>
          </w:p>
        </w:tc>
      </w:tr>
      <w:tr>
        <w:tc>
          <w:tcPr>
            <w:tcW w:type="dxa" w:w="4986"/>
            <w:shd w:val="clear" w:color="auto" w:fill="F5F5F5"/>
          </w:tcPr>
          <w:p>
            <w:r>
              <w:rPr>
                <w:b/>
                <w:color w:val="2471A3"/>
              </w:rPr>
              <w:t xml:space="preserve"> OPPORTUNITIES</w:t>
            </w:r>
          </w:p>
          <w:p>
            <w:pPr>
              <w:pStyle w:val="ListBullet"/>
              <w:ind w:left="288"/>
            </w:pPr>
            <w:r>
              <w:t>• De-risking and Diversification: Opportunity to reduce reliance on JLR by exploring growth and expansion in other automotive segments or geographies, mitigating concentration risk.</w:t>
            </w:r>
          </w:p>
          <w:p>
            <w:pPr>
              <w:pStyle w:val="ListBullet"/>
              <w:ind w:left="288"/>
            </w:pPr>
            <w:r>
              <w:t>• Optimize Underutilized Capacity: Significant potential to improve operational efficiency and profitability by increasing factory utilization beyond the current 40% capacity.</w:t>
            </w:r>
          </w:p>
          <w:p>
            <w:pPr>
              <w:pStyle w:val="ListBullet"/>
              <w:ind w:left="288"/>
            </w:pPr>
            <w:r>
              <w:t>• Strategic Investments/Acquisitions: The robust capital structure (zero debt, high net worth) provides a strong foundation for strategic investments or acquisitions to drive future growth.</w:t>
            </w:r>
          </w:p>
          <w:p>
            <w:pPr>
              <w:pStyle w:val="ListBullet"/>
              <w:ind w:left="288"/>
            </w:pPr>
            <w:r>
              <w:t>• Leverage Strong Credit Profile: Utilise strong and upgraded credit ratings (CARE AA+ Stable, CRISIL AA+ Positive) to access capital markets for future expansion plans if needed, potentially at favorable terms.</w:t>
            </w:r>
          </w:p>
        </w:tc>
        <w:tc>
          <w:tcPr>
            <w:tcW w:type="dxa" w:w="4986"/>
            <w:shd w:val="clear" w:color="auto" w:fill="F5F5F5"/>
          </w:tcPr>
          <w:p>
            <w:r>
              <w:rPr>
                <w:b/>
                <w:color w:val="D68910"/>
              </w:rPr>
              <w:t xml:space="preserve"> THREATS</w:t>
            </w:r>
          </w:p>
          <w:p>
            <w:pPr>
              <w:pStyle w:val="ListBullet"/>
              <w:ind w:left="288"/>
            </w:pPr>
            <w:r>
              <w:t>• Reputational and Regulatory Risk from Integrity Issues: Allegations of wilful default, round-tripping of funds, and evasiveness regarding subsidiary debt pose significant reputational risks and potential for regulatory investigations and penalties, as highlighted by a character score of 50.</w:t>
            </w:r>
          </w:p>
          <w:p>
            <w:pPr>
              <w:pStyle w:val="ListBullet"/>
              <w:ind w:left="288"/>
            </w:pPr>
            <w:r>
              <w:t>• Vulnerability to JLR Market Dynamics: The high dependence on JLR (contributing ~71% revenue and ~80% PBT) makes the company susceptible to adverse market conditions, economic downturns, regulatory changes, or increased competition in the global luxury automotive segment.</w:t>
            </w:r>
          </w:p>
          <w:p>
            <w:pPr>
              <w:pStyle w:val="ListBullet"/>
              <w:ind w:left="288"/>
            </w:pPr>
            <w:r>
              <w:t>• Impact of Undisclosed Liabilities and Revenue Discrepancies: Unaccounted subsidiary debt of ₹450 Crores and revenue mismatches of ₹80 Crores could lead to future financial instability, restatements, or penalties if exposed and substantiated.</w:t>
            </w:r>
          </w:p>
          <w:p>
            <w:pPr>
              <w:pStyle w:val="ListBullet"/>
              <w:ind w:left="288"/>
            </w:pPr>
            <w:r>
              <w:t>• Increased Scrutiny from Lenders/Investors: The identified integrity and transparency issues could lead to heightened scrutiny from lenders and investors, potentially impacting access to funding or valuation in the future, as indicated by the final 'CCC' rating.</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 Chandrasekaran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financial data are Consolidated and for FY25 (2024-25). 'K' preceding values for Net worth, Investment spending, and Net automotive cash in P15 is assumed to be a stylistic element, with the numerical value interpreted directly in 'crore' as per other financial figures in the document. Market capitalization is mentioned in $ billion and not extracted in INR Crores.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₹439,695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₹28,149 Cr</w:t>
            </w:r>
          </w:p>
        </w:tc>
        <w:tc>
          <w:tcPr>
            <w:tcW w:type="dxa" w:w="3324"/>
          </w:tcPr>
          <w:p>
            <w:r>
              <w:t>Direct extraction</w:t>
            </w:r>
          </w:p>
        </w:tc>
      </w:tr>
      <w:tr>
        <w:tc>
          <w:tcPr>
            <w:tcW w:type="dxa" w:w="3324"/>
          </w:tcPr>
          <w:p>
            <w:r>
              <w:t>EBITDA</w:t>
            </w:r>
          </w:p>
        </w:tc>
        <w:tc>
          <w:tcPr>
            <w:tcW w:type="dxa" w:w="3324"/>
          </w:tcPr>
          <w:p>
            <w:r>
              <w:t>₹57,649 Cr</w:t>
            </w:r>
          </w:p>
        </w:tc>
        <w:tc>
          <w:tcPr>
            <w:tcW w:type="dxa" w:w="3324"/>
          </w:tcPr>
          <w:p>
            <w:r>
              <w:t>Direct extraction</w:t>
            </w:r>
          </w:p>
        </w:tc>
      </w:tr>
      <w:tr>
        <w:tc>
          <w:tcPr>
            <w:tcW w:type="dxa" w:w="3324"/>
          </w:tcPr>
          <w:p>
            <w:r>
              <w:t>EBITDA Margin</w:t>
            </w:r>
          </w:p>
        </w:tc>
        <w:tc>
          <w:tcPr>
            <w:tcW w:type="dxa" w:w="3324"/>
          </w:tcPr>
          <w:p>
            <w:r>
              <w:t>13.1%</w:t>
            </w:r>
          </w:p>
        </w:tc>
        <w:tc>
          <w:tcPr>
            <w:tcW w:type="dxa" w:w="3324"/>
          </w:tcPr>
          <w:p>
            <w:r>
              <w:t>Direct extraction</w:t>
            </w:r>
          </w:p>
        </w:tc>
      </w:tr>
      <w:tr>
        <w:tc>
          <w:tcPr>
            <w:tcW w:type="dxa" w:w="3324"/>
          </w:tcPr>
          <w:p>
            <w:r>
              <w:t>Total Assets</w:t>
            </w:r>
          </w:p>
        </w:tc>
        <w:tc>
          <w:tcPr>
            <w:tcW w:type="dxa" w:w="3324"/>
          </w:tcPr>
          <w:p>
            <w:r>
              <w:t>N/A</w:t>
            </w:r>
          </w:p>
        </w:tc>
        <w:tc>
          <w:tcPr>
            <w:tcW w:type="dxa" w:w="3324"/>
          </w:tcPr>
          <w:p>
            <w:r>
              <w:t>Direct extraction</w:t>
            </w:r>
          </w:p>
        </w:tc>
      </w:tr>
      <w:tr>
        <w:tc>
          <w:tcPr>
            <w:tcW w:type="dxa" w:w="3324"/>
          </w:tcPr>
          <w:p>
            <w:r>
              <w:t>Net Worth</w:t>
            </w:r>
          </w:p>
        </w:tc>
        <w:tc>
          <w:tcPr>
            <w:tcW w:type="dxa" w:w="3324"/>
          </w:tcPr>
          <w:p>
            <w:r>
              <w:t>₹116,144 Cr</w:t>
            </w:r>
          </w:p>
        </w:tc>
        <w:tc>
          <w:tcPr>
            <w:tcW w:type="dxa" w:w="3324"/>
          </w:tcPr>
          <w:p>
            <w:r>
              <w:t>Direct extraction</w:t>
            </w:r>
          </w:p>
        </w:tc>
      </w:tr>
      <w:tr>
        <w:tc>
          <w:tcPr>
            <w:tcW w:type="dxa" w:w="3324"/>
          </w:tcPr>
          <w:p>
            <w:r>
              <w:t>Total Borrowings</w:t>
            </w:r>
          </w:p>
        </w:tc>
        <w:tc>
          <w:tcPr>
            <w:tcW w:type="dxa" w:w="3324"/>
          </w:tcPr>
          <w:p>
            <w:r>
              <w:t>₹0 Cr</w:t>
            </w:r>
          </w:p>
        </w:tc>
        <w:tc>
          <w:tcPr>
            <w:tcW w:type="dxa" w:w="3324"/>
          </w:tcPr>
          <w:p>
            <w:r>
              <w:t>Direct extraction</w:t>
            </w:r>
          </w:p>
        </w:tc>
      </w:tr>
      <w:tr>
        <w:tc>
          <w:tcPr>
            <w:tcW w:type="dxa" w:w="3324"/>
          </w:tcPr>
          <w:p>
            <w:r>
              <w:t>Debt / Equity</w:t>
            </w:r>
          </w:p>
        </w:tc>
        <w:tc>
          <w:tcPr>
            <w:tcW w:type="dxa" w:w="3324"/>
          </w:tcPr>
          <w:p>
            <w:r>
              <w:t>0.00x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N/A</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All financial data are Consolidated and for FY25 (2024-25). 'K' preceding values for Net worth, Investment spending, and Net automotive cash in P15 is assumed to be a stylistic element, with the numerical value interpreted directly in 'crore' as per other financial figures in the document. Market capitalization is mentioned in $ billion and not extracted in INR Crores.</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50</w:t>
            </w:r>
          </w:p>
        </w:tc>
        <w:tc>
          <w:tcPr>
            <w:tcW w:type="dxa" w:w="2493"/>
          </w:tcPr>
          <w:p>
            <w:r>
              <w:t>25%</w:t>
            </w:r>
          </w:p>
        </w:tc>
        <w:tc>
          <w:tcPr>
            <w:tcW w:type="dxa" w:w="2493"/>
          </w:tcPr>
          <w:p>
            <w:r>
              <w:t>Wilful default suspected on previous NBFC loan and round-tripping of funds through related parties detected from bank statements, as per manual field notes, indicate severe integrity concerns. Management was also evasive about ₹450 Cr subsidiary debt. These factors significantly undermine the promoter background and MCA signals of low risk.</w:t>
            </w:r>
          </w:p>
        </w:tc>
      </w:tr>
      <w:tr>
        <w:tc>
          <w:tcPr>
            <w:tcW w:type="dxa" w:w="2493"/>
            <w:shd w:val="clear" w:color="auto" w:fill="E8F0FA"/>
          </w:tcPr>
          <w:p>
            <w:r>
              <w:rPr>
                <w:b/>
              </w:rPr>
              <w:t>💰 Capacity</w:t>
            </w:r>
          </w:p>
        </w:tc>
        <w:tc>
          <w:tcPr>
            <w:tcW w:type="dxa" w:w="2493"/>
            <w:shd w:val="clear" w:color="auto" w:fill="E8F0FA"/>
          </w:tcPr>
          <w:p>
            <w:r>
              <w:t>70</w:t>
            </w:r>
          </w:p>
        </w:tc>
        <w:tc>
          <w:tcPr>
            <w:tcW w:type="dxa" w:w="2493"/>
            <w:shd w:val="clear" w:color="auto" w:fill="E8F0FA"/>
          </w:tcPr>
          <w:p>
            <w:r>
              <w:t>30%</w:t>
            </w:r>
          </w:p>
        </w:tc>
        <w:tc>
          <w:tcPr>
            <w:tcW w:type="dxa" w:w="2493"/>
            <w:shd w:val="clear" w:color="auto" w:fill="E8F0FA"/>
          </w:tcPr>
          <w:p>
            <w:r>
              <w:t>EBITDA margin of 13.1% supports a minimum score. However, manual field notes indicate factory operating at only 40% capacity with significant idle machinery, and a revenue mismatch of ₹80 Cr (GST filings lower than reported), raising concerns about operational efficiency and revenue integrity. There is also significant revenue and PBT reliance on JLR (~71% and 80% respectively in FY25), indicating concentration risk.</w:t>
            </w:r>
          </w:p>
        </w:tc>
      </w:tr>
      <w:tr>
        <w:tc>
          <w:tcPr>
            <w:tcW w:type="dxa" w:w="2493"/>
          </w:tcPr>
          <w:p>
            <w:r>
              <w:rPr>
                <w:b/>
              </w:rPr>
              <w:t>🏛️ Capital</w:t>
            </w:r>
          </w:p>
        </w:tc>
        <w:tc>
          <w:tcPr>
            <w:tcW w:type="dxa" w:w="2493"/>
          </w:tcPr>
          <w:p>
            <w:r>
              <w:t>90</w:t>
            </w:r>
          </w:p>
        </w:tc>
        <w:tc>
          <w:tcPr>
            <w:tcW w:type="dxa" w:w="2493"/>
          </w:tcPr>
          <w:p>
            <w:r>
              <w:t>20%</w:t>
            </w:r>
          </w:p>
        </w:tc>
        <w:tc>
          <w:tcPr>
            <w:tcW w:type="dxa" w:w="2493"/>
          </w:tcPr>
          <w:p>
            <w:r>
              <w:t>Debt-equity ratio is 0.0x with zero total borrowings and a substantial net worth of ₹116,144 Cr, indicating a very strong capital structure. However, manual field notes indicate management was evasive about ₹450 Cr of subsidiary debt not reflected in annual reports, raising concerns about the completeness of reported liabilities.</w:t>
            </w:r>
          </w:p>
        </w:tc>
      </w:tr>
      <w:tr>
        <w:tc>
          <w:tcPr>
            <w:tcW w:type="dxa" w:w="2493"/>
            <w:shd w:val="clear" w:color="auto" w:fill="E8F0FA"/>
          </w:tcPr>
          <w:p>
            <w:r>
              <w:rPr>
                <w:b/>
              </w:rPr>
              <w:t>🔒 Collateral</w:t>
            </w:r>
          </w:p>
        </w:tc>
        <w:tc>
          <w:tcPr>
            <w:tcW w:type="dxa" w:w="2493"/>
            <w:shd w:val="clear" w:color="auto" w:fill="E8F0FA"/>
          </w:tcPr>
          <w:p>
            <w:r>
              <w:t>85</w:t>
            </w:r>
          </w:p>
        </w:tc>
        <w:tc>
          <w:tcPr>
            <w:tcW w:type="dxa" w:w="2493"/>
            <w:shd w:val="clear" w:color="auto" w:fill="E8F0FA"/>
          </w:tcPr>
          <w:p>
            <w:r>
              <w:t>15%</w:t>
            </w:r>
          </w:p>
        </w:tc>
        <w:tc>
          <w:tcPr>
            <w:tcW w:type="dxa" w:w="2493"/>
            <w:shd w:val="clear" w:color="auto" w:fill="E8F0FA"/>
          </w:tcPr>
          <w:p>
            <w:r>
              <w:t>Robust revenue of ₹439,695 Cr implies a substantial underlying asset base. MCA signals explicitly state that Tata Motors Limited does not have any charges, indicating unencumbered assets available for security.</w:t>
            </w:r>
          </w:p>
        </w:tc>
      </w:tr>
      <w:tr>
        <w:tc>
          <w:tcPr>
            <w:tcW w:type="dxa" w:w="2493"/>
          </w:tcPr>
          <w:p>
            <w:r>
              <w:rPr>
                <w:b/>
              </w:rPr>
              <w:t>🌍 Conditions</w:t>
            </w:r>
          </w:p>
        </w:tc>
        <w:tc>
          <w:tcPr>
            <w:tcW w:type="dxa" w:w="2493"/>
          </w:tcPr>
          <w:p>
            <w:r>
              <w:t>90</w:t>
            </w:r>
          </w:p>
        </w:tc>
        <w:tc>
          <w:tcPr>
            <w:tcW w:type="dxa" w:w="2493"/>
          </w:tcPr>
          <w:p>
            <w:r>
              <w:t>10%</w:t>
            </w:r>
          </w:p>
        </w:tc>
        <w:tc>
          <w:tcPr>
            <w:tcW w:type="dxa" w:w="2493"/>
          </w:tcPr>
          <w:p>
            <w:r>
              <w:t>The company benefits from strong and recently upgraded external credit ratings (CARE AA+ Stable, CRISIL AA+ Positive), reflecting a favorable market and operating environment for the company. The overall sentiment in company news is positive.</w:t>
            </w:r>
          </w:p>
        </w:tc>
      </w:tr>
    </w:tbl>
    <w:p/>
    <w:p>
      <w:r>
        <w:rPr>
          <w:b/>
        </w:rPr>
        <w:t xml:space="preserve">Weighted Score: </w:t>
      </w:r>
      <w:r>
        <w:t>73.25/100</w:t>
      </w:r>
      <w:r>
        <w:t xml:space="preserve">   |   </w:t>
      </w:r>
      <w:r>
        <w:rPr>
          <w:b/>
        </w:rPr>
        <w:t xml:space="preserve">Penalty Applied: </w:t>
      </w:r>
      <w:r>
        <w:t>24.0 points</w:t>
      </w:r>
      <w:r>
        <w:t xml:space="preserve">   |   </w:t>
      </w:r>
      <w:r>
        <w:rPr>
          <w:b/>
        </w:rPr>
        <w:t xml:space="preserve">Final Score: </w:t>
      </w:r>
      <w:r>
        <w:t>49.25/100</w:t>
      </w:r>
    </w:p>
    <w:p/>
    <w:p>
      <w:pPr>
        <w:jc w:val="left"/>
      </w:pPr>
      <w:r>
        <w:rPr>
          <w:b/>
          <w:color w:val="1B3A6B"/>
          <w:sz w:val="24"/>
          <w:u w:val="single"/>
        </w:rPr>
        <w:t>SECONDARY RESEARCH INTELLIGENCE</w:t>
      </w:r>
    </w:p>
    <w:p/>
    <w:p>
      <w:r>
        <w:rPr>
          <w:b/>
        </w:rPr>
        <w:t xml:space="preserve">Company News: </w:t>
      </w:r>
      <w:r>
        <w:t>Tata Motors Limited has received strong and recently upgraded/stable credit ratings from CARE (AA+, Stable) and CRISIL (AA+, Positive). This indicates a strong financial and operational profile. However, the company exhibits significant reliance on its JLR subsidiary, which contributed approximately 71% of consolidated revenue and 80% of consolidated PBT in FY25, highlighting a degree of concentration risk.</w:t>
      </w:r>
    </w:p>
    <w:p/>
    <w:p>
      <w:r>
        <w:rPr>
          <w:b/>
        </w:rPr>
        <w:t xml:space="preserve">Promoter Background: </w:t>
      </w:r>
      <w:r>
        <w:t>A past fraud allegation (2016) against Chairman Ratan Tata by a lawmaker related to an alleged corrupt telecoms transaction was reported. However, Group holding company Tata Sons stated that these allegations had been thoroughly inquired into by the CBI and no evidence was found. No current criminal cases or SFIO investigations against Tata Motors Limited or its current promoters were identified. The information regarding Neeraj Singhal of Bhushan Steel Limited is not relevant to Tata Motors Limited.</w:t>
      </w:r>
    </w:p>
    <w:p/>
    <w:p>
      <w:r>
        <w:rPr>
          <w:b/>
        </w:rPr>
        <w:t xml:space="preserve">Sector Headwinds: </w:t>
      </w:r>
      <w:r>
        <w:t>The automotive manufacturing sector, and large corporate groups like Tata Motors, face potential regulatory headwinds from proposed RBI draft directions. These include revised norms on related party lending (requiring statutory auditors to check group entity exposures) and draft regulations on External Commercial Borrowings (ECBs). While not direct issues for TML, these could lead to increased compliance burden, heightened scrutiny on intra-group transactions, and potentially impact future funding flexibility or capital structure for companies with complex group structures. No immediate adverse sector-specific restrictions or negative sector health indicators were explicitly mentioned.</w:t>
      </w:r>
    </w:p>
    <w:p/>
    <w:p>
      <w:r>
        <w:rPr>
          <w:b/>
        </w:rPr>
        <w:t xml:space="preserve">Litigation: </w:t>
      </w:r>
      <w:r>
        <w:t>Tata Motors Limited is involved in NCLT proceedings for a Composite Scheme of Arrangement (demerger/restructuring) under Sections 230-232 of the Companies Act, which is a neutral corporate restructuring event. Additionally, a subsidiary, Tata Power EV Charging Solutions Limited, had its insolvency plea admitted against a third-party, Cab-Eez Infra Tech Limited, which represents a debt recovery effort by a group entity and is a low-risk event for TML. No insolvency proceedings (CIRP) or high-risk litigation directly against Tata Motors Limited itself were identified.</w:t>
      </w:r>
    </w:p>
    <w:p/>
    <w:p>
      <w:r>
        <w:rPr>
          <w:b/>
        </w:rPr>
        <w:t xml:space="preserve">Regulatory: </w:t>
      </w:r>
      <w:r>
        <w:t>No specific SEBI enforcement actions, settlement orders, or RBI penalties directly against Tata Motors Limited were identified. The intelligence mentions draft RBI regulations concerning revised norms on related party lending and external commercial borrowings (ECBs). These are general sectoral developments and not indicative of any non-compliance or specific issues with Tata Motors Limited.</w:t>
      </w:r>
    </w:p>
    <w:p/>
    <w:p>
      <w:r>
        <w:rPr>
          <w:b/>
        </w:rPr>
        <w:t xml:space="preserve">MCA Signals: </w:t>
      </w:r>
      <w:r>
        <w:t>Tata Motors Limited explicitly states that it does not have any charges or satisfaction yet to be registered with the Registrar of Companies (ROC) beyond the statutory period, indicating good compliance. No instances of director disqualification, ROC filing defaults, or pending charge satisfactions were identified through the provided intelligence for Tata Motors Limited.</w:t>
      </w:r>
    </w:p>
    <w:p/>
    <w:p>
      <w:r>
        <w:rPr>
          <w:b/>
        </w:rPr>
        <w:t xml:space="preserve">Overall Research Rating: </w:t>
      </w:r>
      <w:r>
        <w:t>A — Strong Proceed</w:t>
      </w:r>
    </w:p>
    <w:p>
      <w:r>
        <w:rPr>
          <w:b/>
        </w:rPr>
        <w:t xml:space="preserve">Top Risks Identified: </w:t>
      </w:r>
      <w:r>
        <w:t>High financial reliance on JLR for consolidated performance, making the company susceptible to JLR's operational and market risks.; Potential future impact of tightening RBI regulations on intra-group transactions and External Commercial Borrowings (ECBs) could affect group funding strategies and compliance.; Historical allegations against the promoter (Ratan Tata), though resolved, present a lingering reputational risk.</w:t>
      </w:r>
    </w:p>
    <w:p/>
    <w:p>
      <w:pPr>
        <w:jc w:val="left"/>
      </w:pPr>
      <w:r>
        <w:rPr>
          <w:b/>
          <w:color w:val="1B3A6B"/>
          <w:sz w:val="24"/>
          <w:u w:val="single"/>
        </w:rPr>
        <w:t>CROSS-DOCUMENT FRAUD INTELLIGENCE</w:t>
      </w:r>
    </w:p>
    <w:p/>
    <w:p>
      <w:r>
        <w:rPr>
          <w:b/>
        </w:rPr>
        <w:t xml:space="preserve">Documents Compared: </w:t>
      </w:r>
      <w:r>
        <w:t>annual_report, merged_all</w:t>
      </w:r>
    </w:p>
    <w:p>
      <w:r>
        <w:rPr>
          <w:b/>
        </w:rPr>
        <w:t xml:space="preserve">Circular Trading Risk: </w:t>
      </w:r>
      <w:r>
        <w:t>Low</w:t>
      </w:r>
    </w:p>
    <w:p>
      <w:r>
        <w:rPr>
          <w:b/>
        </w:rPr>
        <w:t xml:space="preserve">Revenue Inflation Risk: </w:t>
      </w:r>
      <w:r>
        <w:t>Low</w:t>
      </w:r>
    </w:p>
    <w:p/>
    <w:p>
      <w:pPr>
        <w:jc w:val="left"/>
      </w:pPr>
      <w:r>
        <w:rPr>
          <w:b/>
          <w:color w:val="1B3A6B"/>
          <w:sz w:val="24"/>
          <w:u w:val="single"/>
        </w:rPr>
        <w:t>CREDIT OFFICER FIELD OBSERVATIONS</w:t>
      </w:r>
    </w:p>
    <w:p/>
    <w:p>
      <w:r>
        <w:rPr>
          <w:i/>
        </w:rPr>
        <w:t>Site visit conducted on 15th March 2026. Factory operating at only 40% capacity with significant idle machinery. Management was evasive when questioned about subsidiary debt of ₹450 Cr not reflected in annual reports. Revenue mismatch detected: GST filings show ₹80 Cr lower than reported figures. Bank statements show round-tripping of funds through related parties. Integrity concerns regarding promoter background - unverified criminal allegation from 2018. Wilful default suspected on previous NBFC loan.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C0392B"/>
          </w:tcPr>
          <w:p>
            <w:pPr>
              <w:jc w:val="center"/>
            </w:pPr>
            <w:r>
              <w:rPr>
                <w:b/>
                <w:color w:val="FFFFFF"/>
                <w:sz w:val="28"/>
              </w:rPr>
              <w:t>RECOMMENDATION: REJECT</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REJECT</w:t>
            </w:r>
          </w:p>
        </w:tc>
      </w:tr>
      <w:tr>
        <w:tc>
          <w:tcPr>
            <w:tcW w:type="dxa" w:w="4986"/>
            <w:shd w:val="clear" w:color="auto" w:fill="E8F0FA"/>
          </w:tcPr>
          <w:p>
            <w:r>
              <w:rPr>
                <w:b/>
              </w:rPr>
              <w:t>Credit Rating</w:t>
            </w:r>
          </w:p>
        </w:tc>
        <w:tc>
          <w:tcPr>
            <w:tcW w:type="dxa" w:w="4986"/>
          </w:tcPr>
          <w:p>
            <w:r>
              <w:t>BB</w:t>
            </w:r>
          </w:p>
        </w:tc>
      </w:tr>
      <w:tr>
        <w:tc>
          <w:tcPr>
            <w:tcW w:type="dxa" w:w="4986"/>
            <w:shd w:val="clear" w:color="auto" w:fill="E8F0FA"/>
          </w:tcPr>
          <w:p>
            <w:r>
              <w:rPr>
                <w:b/>
              </w:rPr>
              <w:t>Credit Score</w:t>
            </w:r>
          </w:p>
        </w:tc>
        <w:tc>
          <w:tcPr>
            <w:tcW w:type="dxa" w:w="4986"/>
          </w:tcPr>
          <w:p>
            <w:r>
              <w:t>65.92/100</w:t>
            </w:r>
          </w:p>
        </w:tc>
      </w:tr>
      <w:tr>
        <w:tc>
          <w:tcPr>
            <w:tcW w:type="dxa" w:w="4986"/>
            <w:shd w:val="clear" w:color="auto" w:fill="E8F0FA"/>
          </w:tcPr>
          <w:p>
            <w:r>
              <w:rPr>
                <w:b/>
              </w:rPr>
              <w:t>Recommended Amount</w:t>
            </w:r>
          </w:p>
        </w:tc>
        <w:tc>
          <w:tcPr>
            <w:tcW w:type="dxa" w:w="4986"/>
          </w:tcPr>
          <w:p>
            <w:r>
              <w:t>₹0 Cr</w:t>
            </w:r>
          </w:p>
        </w:tc>
      </w:tr>
      <w:tr>
        <w:tc>
          <w:tcPr>
            <w:tcW w:type="dxa" w:w="4986"/>
            <w:shd w:val="clear" w:color="auto" w:fill="E8F0FA"/>
          </w:tcPr>
          <w:p>
            <w:r>
              <w:rPr>
                <w:b/>
              </w:rPr>
              <w:t>Interest Rate</w:t>
            </w:r>
          </w:p>
        </w:tc>
        <w:tc>
          <w:tcPr>
            <w:tcW w:type="dxa" w:w="4986"/>
          </w:tcPr>
          <w:p>
            <w:r>
              <w:t>None%</w:t>
            </w:r>
          </w:p>
        </w:tc>
      </w:tr>
      <w:tr>
        <w:tc>
          <w:tcPr>
            <w:tcW w:type="dxa" w:w="4986"/>
            <w:shd w:val="clear" w:color="auto" w:fill="E8F0FA"/>
          </w:tcPr>
          <w:p>
            <w:r>
              <w:rPr>
                <w:b/>
              </w:rPr>
              <w:t>Tenure</w:t>
            </w:r>
          </w:p>
        </w:tc>
        <w:tc>
          <w:tcPr>
            <w:tcW w:type="dxa" w:w="4986"/>
          </w:tcPr>
          <w:p>
            <w:r>
              <w:t>None months</w:t>
            </w:r>
          </w:p>
        </w:tc>
      </w:tr>
    </w:tbl>
    <w:p/>
    <w:p>
      <w:r>
        <w:rPr>
          <w:b/>
        </w:rPr>
        <w:t xml:space="preserve">Rationale: </w:t>
      </w:r>
      <w:r>
        <w:t>Blended score 65.92/100 with rating BB. Five-Cs weighted score after penalties: 49.25. Entity type assessed as corporate. Recommendation is REJECT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21 Mar 2026 20:30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