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0E4BD" w14:textId="77777777" w:rsidR="00D61E1E" w:rsidRPr="00D61E1E" w:rsidRDefault="00D61E1E" w:rsidP="00D61E1E">
      <w:pPr>
        <w:rPr>
          <w:b/>
          <w:bCs/>
        </w:rPr>
      </w:pPr>
      <w:r w:rsidRPr="00D61E1E">
        <w:rPr>
          <w:b/>
          <w:bCs/>
        </w:rPr>
        <w:t>QUESTION 1: A 42-year-old woman presents to the surgical outpatient department with a 5-year history of prominent, tortuous veins over the medial aspect of her right lower limb. She reports a dull aching sensation and heaviness in the leg, particularly after standing for several hours at work. On examination, multiple dilated superficial veins are seen along the medial thigh and leg. There is no ulceration or significant edema. The patient is asked to lie supine, and her affected limb is elevated to allow the superficial veins to empty. The examiner then compresses the region of the saphenofemoral junction and asks the patient to stand. The veins remain collapsed initially but fill rapidly when the pressure over the junction is released. Which of the following clinical tests is being performed in this patient?</w:t>
      </w:r>
      <w:r w:rsidRPr="00D61E1E">
        <w:rPr>
          <w:b/>
          <w:bCs/>
        </w:rPr>
        <w:br/>
        <w:t>A. Perthes test</w:t>
      </w:r>
      <w:r w:rsidRPr="00D61E1E">
        <w:rPr>
          <w:b/>
          <w:bCs/>
        </w:rPr>
        <w:br/>
        <w:t>B. Brodie-Trendelenburg test</w:t>
      </w:r>
      <w:r w:rsidRPr="00D61E1E">
        <w:rPr>
          <w:b/>
          <w:bCs/>
        </w:rPr>
        <w:br/>
        <w:t>C. Schwartz tap test</w:t>
      </w:r>
      <w:r w:rsidRPr="00D61E1E">
        <w:rPr>
          <w:b/>
          <w:bCs/>
        </w:rPr>
        <w:br/>
        <w:t>D. Pratt test</w:t>
      </w:r>
      <w:r w:rsidRPr="00D61E1E">
        <w:rPr>
          <w:b/>
          <w:bCs/>
        </w:rPr>
        <w:br/>
        <w:t>Answer: B</w:t>
      </w:r>
      <w:r w:rsidRPr="00D61E1E">
        <w:rPr>
          <w:b/>
          <w:bCs/>
        </w:rPr>
        <w:br/>
        <w:t>Explanation:</w:t>
      </w:r>
    </w:p>
    <w:p w14:paraId="7EE3E3E0" w14:textId="77777777" w:rsidR="00D61E1E" w:rsidRPr="00D61E1E" w:rsidRDefault="00D61E1E" w:rsidP="00D61E1E">
      <w:pPr>
        <w:numPr>
          <w:ilvl w:val="0"/>
          <w:numId w:val="11"/>
        </w:numPr>
        <w:rPr>
          <w:b/>
          <w:bCs/>
        </w:rPr>
      </w:pPr>
      <w:r w:rsidRPr="00D61E1E">
        <w:rPr>
          <w:b/>
          <w:bCs/>
        </w:rPr>
        <w:t>The Brodie-Trendelenburg test is performed by elevating the limb to empty superficial veins, compressing the saphenofemoral junction, and observing rapid filling after release—indicating junctional incompetence.</w:t>
      </w:r>
    </w:p>
    <w:p w14:paraId="07A9F194" w14:textId="77777777" w:rsidR="00D61E1E" w:rsidRPr="00D61E1E" w:rsidRDefault="00D61E1E" w:rsidP="00D61E1E">
      <w:pPr>
        <w:numPr>
          <w:ilvl w:val="0"/>
          <w:numId w:val="11"/>
        </w:numPr>
        <w:rPr>
          <w:b/>
          <w:bCs/>
        </w:rPr>
      </w:pPr>
      <w:r w:rsidRPr="00D61E1E">
        <w:rPr>
          <w:b/>
          <w:bCs/>
        </w:rPr>
        <w:t>The Perthes test assesses deep venous patency, not saphenofemoral reflux.</w:t>
      </w:r>
    </w:p>
    <w:p w14:paraId="1DA56F25" w14:textId="77777777" w:rsidR="00D61E1E" w:rsidRPr="00D61E1E" w:rsidRDefault="00D61E1E" w:rsidP="00D61E1E">
      <w:pPr>
        <w:numPr>
          <w:ilvl w:val="0"/>
          <w:numId w:val="11"/>
        </w:numPr>
        <w:rPr>
          <w:b/>
          <w:bCs/>
        </w:rPr>
      </w:pPr>
      <w:r w:rsidRPr="00D61E1E">
        <w:rPr>
          <w:b/>
          <w:bCs/>
        </w:rPr>
        <w:t>The Schwartz tap test evaluates valve incompetence via impulse transmission, and Pratt's test assesses perforator involvement—neither matches the described maneuver.</w:t>
      </w:r>
    </w:p>
    <w:p w14:paraId="6EA590A4" w14:textId="77777777" w:rsidR="00D61E1E" w:rsidRPr="00D61E1E" w:rsidRDefault="00D61E1E" w:rsidP="00D61E1E">
      <w:pPr>
        <w:rPr>
          <w:b/>
          <w:bCs/>
        </w:rPr>
      </w:pPr>
      <w:r w:rsidRPr="00D61E1E">
        <w:rPr>
          <w:b/>
          <w:bCs/>
        </w:rPr>
        <w:pict w14:anchorId="2E730D45">
          <v:rect id="_x0000_i1076" style="width:0;height:.75pt" o:hralign="center" o:hrstd="t" o:hr="t" fillcolor="#a0a0a0" stroked="f"/>
        </w:pict>
      </w:r>
    </w:p>
    <w:p w14:paraId="60AAD83D" w14:textId="77777777" w:rsidR="00D61E1E" w:rsidRPr="00D61E1E" w:rsidRDefault="00D61E1E" w:rsidP="00D61E1E">
      <w:pPr>
        <w:rPr>
          <w:b/>
          <w:bCs/>
        </w:rPr>
      </w:pPr>
      <w:r w:rsidRPr="00D61E1E">
        <w:rPr>
          <w:b/>
          <w:bCs/>
        </w:rPr>
        <w:t xml:space="preserve">QUESTION 2: A 38-year-old man who works as a security guard presents with gradually increasing, tortuous veins over both lower limbs. His symptoms are mainly cosmetic, and he occasionally experiences mild heaviness after prolonged standing. On examination, there are clearly visible, palpable dilated veins measuring more than 3 mm in diameter when the patient is standing. There is no ankle edema, pigmentation, eczema, </w:t>
      </w:r>
      <w:proofErr w:type="spellStart"/>
      <w:r w:rsidRPr="00D61E1E">
        <w:rPr>
          <w:b/>
          <w:bCs/>
        </w:rPr>
        <w:t>lipodermatosclerosis</w:t>
      </w:r>
      <w:proofErr w:type="spellEnd"/>
      <w:r w:rsidRPr="00D61E1E">
        <w:rPr>
          <w:b/>
          <w:bCs/>
        </w:rPr>
        <w:t>, or history of venous ulceration. The surgeon decides to document the patient's chronic venous disease using the CEAP clinical classification. Which CEAP clinical class best describes this patient's condition?</w:t>
      </w:r>
      <w:r w:rsidRPr="00D61E1E">
        <w:rPr>
          <w:b/>
          <w:bCs/>
        </w:rPr>
        <w:br/>
        <w:t>A. C1</w:t>
      </w:r>
      <w:r w:rsidRPr="00D61E1E">
        <w:rPr>
          <w:b/>
          <w:bCs/>
        </w:rPr>
        <w:br/>
        <w:t>B. C2</w:t>
      </w:r>
      <w:r w:rsidRPr="00D61E1E">
        <w:rPr>
          <w:b/>
          <w:bCs/>
        </w:rPr>
        <w:br/>
        <w:t>C. C3</w:t>
      </w:r>
      <w:r w:rsidRPr="00D61E1E">
        <w:rPr>
          <w:b/>
          <w:bCs/>
        </w:rPr>
        <w:br/>
        <w:t>D. C4</w:t>
      </w:r>
      <w:r w:rsidRPr="00D61E1E">
        <w:rPr>
          <w:b/>
          <w:bCs/>
        </w:rPr>
        <w:br/>
        <w:t>Answer: B</w:t>
      </w:r>
      <w:r w:rsidRPr="00D61E1E">
        <w:rPr>
          <w:b/>
          <w:bCs/>
        </w:rPr>
        <w:br/>
        <w:t>Explanation:</w:t>
      </w:r>
    </w:p>
    <w:p w14:paraId="15369552" w14:textId="77777777" w:rsidR="00D61E1E" w:rsidRPr="00D61E1E" w:rsidRDefault="00D61E1E" w:rsidP="00D61E1E">
      <w:pPr>
        <w:numPr>
          <w:ilvl w:val="0"/>
          <w:numId w:val="12"/>
        </w:numPr>
        <w:rPr>
          <w:b/>
          <w:bCs/>
        </w:rPr>
      </w:pPr>
      <w:r w:rsidRPr="00D61E1E">
        <w:rPr>
          <w:b/>
          <w:bCs/>
        </w:rPr>
        <w:t>CEAP C2 corresponds to visible, palpable varicose veins &gt;3 mm without edema or skin changes.</w:t>
      </w:r>
    </w:p>
    <w:p w14:paraId="6A0B399D" w14:textId="77777777" w:rsidR="00D61E1E" w:rsidRPr="00D61E1E" w:rsidRDefault="00D61E1E" w:rsidP="00D61E1E">
      <w:pPr>
        <w:numPr>
          <w:ilvl w:val="0"/>
          <w:numId w:val="12"/>
        </w:numPr>
        <w:rPr>
          <w:b/>
          <w:bCs/>
        </w:rPr>
      </w:pPr>
      <w:r w:rsidRPr="00D61E1E">
        <w:rPr>
          <w:b/>
          <w:bCs/>
        </w:rPr>
        <w:t>C1 is telangiectasias/reticular veins; C3 is edema; C4 is skin changes—none fit this patient's presentation.</w:t>
      </w:r>
    </w:p>
    <w:p w14:paraId="4BAE192C" w14:textId="77777777" w:rsidR="00D61E1E" w:rsidRPr="00D61E1E" w:rsidRDefault="00D61E1E" w:rsidP="00D61E1E">
      <w:pPr>
        <w:numPr>
          <w:ilvl w:val="0"/>
          <w:numId w:val="12"/>
        </w:numPr>
        <w:rPr>
          <w:b/>
          <w:bCs/>
        </w:rPr>
      </w:pPr>
      <w:r w:rsidRPr="00D61E1E">
        <w:rPr>
          <w:b/>
          <w:bCs/>
        </w:rPr>
        <w:t>The absence of edema, pigmentation, or ulceration confirms C2 as the correct class.</w:t>
      </w:r>
    </w:p>
    <w:p w14:paraId="1278AEF8" w14:textId="77777777" w:rsidR="006F69AD" w:rsidRPr="00D61E1E" w:rsidRDefault="006F69AD" w:rsidP="00D61E1E"/>
    <w:sectPr w:rsidR="006F69AD" w:rsidRPr="00D61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79A8"/>
    <w:multiLevelType w:val="multilevel"/>
    <w:tmpl w:val="0DE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4082D"/>
    <w:multiLevelType w:val="multilevel"/>
    <w:tmpl w:val="B6E4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E07A9"/>
    <w:multiLevelType w:val="multilevel"/>
    <w:tmpl w:val="0F94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558FC"/>
    <w:multiLevelType w:val="multilevel"/>
    <w:tmpl w:val="1A7E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7668B"/>
    <w:multiLevelType w:val="multilevel"/>
    <w:tmpl w:val="5A0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901FA"/>
    <w:multiLevelType w:val="multilevel"/>
    <w:tmpl w:val="03B2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5E1015"/>
    <w:multiLevelType w:val="multilevel"/>
    <w:tmpl w:val="3DDC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A2C9D"/>
    <w:multiLevelType w:val="multilevel"/>
    <w:tmpl w:val="79481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F4C68"/>
    <w:multiLevelType w:val="multilevel"/>
    <w:tmpl w:val="13D8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A637A"/>
    <w:multiLevelType w:val="multilevel"/>
    <w:tmpl w:val="F490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63F3B"/>
    <w:multiLevelType w:val="multilevel"/>
    <w:tmpl w:val="F60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D49E6"/>
    <w:multiLevelType w:val="multilevel"/>
    <w:tmpl w:val="A6E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867144">
    <w:abstractNumId w:val="7"/>
  </w:num>
  <w:num w:numId="2" w16cid:durableId="2117676472">
    <w:abstractNumId w:val="0"/>
  </w:num>
  <w:num w:numId="3" w16cid:durableId="942080516">
    <w:abstractNumId w:val="2"/>
  </w:num>
  <w:num w:numId="4" w16cid:durableId="2118132786">
    <w:abstractNumId w:val="1"/>
  </w:num>
  <w:num w:numId="5" w16cid:durableId="489100451">
    <w:abstractNumId w:val="9"/>
  </w:num>
  <w:num w:numId="6" w16cid:durableId="1752893591">
    <w:abstractNumId w:val="11"/>
  </w:num>
  <w:num w:numId="7" w16cid:durableId="702439010">
    <w:abstractNumId w:val="6"/>
  </w:num>
  <w:num w:numId="8" w16cid:durableId="896208517">
    <w:abstractNumId w:val="4"/>
  </w:num>
  <w:num w:numId="9" w16cid:durableId="1417479653">
    <w:abstractNumId w:val="5"/>
  </w:num>
  <w:num w:numId="10" w16cid:durableId="1806660798">
    <w:abstractNumId w:val="8"/>
  </w:num>
  <w:num w:numId="11" w16cid:durableId="612593013">
    <w:abstractNumId w:val="3"/>
  </w:num>
  <w:num w:numId="12" w16cid:durableId="9388328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777"/>
    <w:rsid w:val="006F69AD"/>
    <w:rsid w:val="009705F8"/>
    <w:rsid w:val="00B16777"/>
    <w:rsid w:val="00B34127"/>
    <w:rsid w:val="00D61E1E"/>
    <w:rsid w:val="00F0301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CCF8D"/>
  <w15:chartTrackingRefBased/>
  <w15:docId w15:val="{DC34E42D-4327-41EC-BDCB-98FD582D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B16777"/>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16777"/>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16777"/>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16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777"/>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16777"/>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16777"/>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16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777"/>
    <w:rPr>
      <w:rFonts w:eastAsiaTheme="majorEastAsia" w:cstheme="majorBidi"/>
      <w:color w:val="272727" w:themeColor="text1" w:themeTint="D8"/>
    </w:rPr>
  </w:style>
  <w:style w:type="paragraph" w:styleId="Title">
    <w:name w:val="Title"/>
    <w:basedOn w:val="Normal"/>
    <w:next w:val="Normal"/>
    <w:link w:val="TitleChar"/>
    <w:uiPriority w:val="10"/>
    <w:qFormat/>
    <w:rsid w:val="00B1677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1677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1677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1677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16777"/>
    <w:pPr>
      <w:spacing w:before="160"/>
      <w:jc w:val="center"/>
    </w:pPr>
    <w:rPr>
      <w:i/>
      <w:iCs/>
      <w:color w:val="404040" w:themeColor="text1" w:themeTint="BF"/>
    </w:rPr>
  </w:style>
  <w:style w:type="character" w:customStyle="1" w:styleId="QuoteChar">
    <w:name w:val="Quote Char"/>
    <w:basedOn w:val="DefaultParagraphFont"/>
    <w:link w:val="Quote"/>
    <w:uiPriority w:val="29"/>
    <w:rsid w:val="00B16777"/>
    <w:rPr>
      <w:rFonts w:cs="Mangal"/>
      <w:i/>
      <w:iCs/>
      <w:color w:val="404040" w:themeColor="text1" w:themeTint="BF"/>
    </w:rPr>
  </w:style>
  <w:style w:type="paragraph" w:styleId="ListParagraph">
    <w:name w:val="List Paragraph"/>
    <w:basedOn w:val="Normal"/>
    <w:uiPriority w:val="34"/>
    <w:qFormat/>
    <w:rsid w:val="00B16777"/>
    <w:pPr>
      <w:ind w:left="720"/>
      <w:contextualSpacing/>
    </w:pPr>
  </w:style>
  <w:style w:type="character" w:styleId="IntenseEmphasis">
    <w:name w:val="Intense Emphasis"/>
    <w:basedOn w:val="DefaultParagraphFont"/>
    <w:uiPriority w:val="21"/>
    <w:qFormat/>
    <w:rsid w:val="00B16777"/>
    <w:rPr>
      <w:i/>
      <w:iCs/>
      <w:color w:val="2F5496" w:themeColor="accent1" w:themeShade="BF"/>
    </w:rPr>
  </w:style>
  <w:style w:type="paragraph" w:styleId="IntenseQuote">
    <w:name w:val="Intense Quote"/>
    <w:basedOn w:val="Normal"/>
    <w:next w:val="Normal"/>
    <w:link w:val="IntenseQuoteChar"/>
    <w:uiPriority w:val="30"/>
    <w:qFormat/>
    <w:rsid w:val="00B16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777"/>
    <w:rPr>
      <w:rFonts w:cs="Mangal"/>
      <w:i/>
      <w:iCs/>
      <w:color w:val="2F5496" w:themeColor="accent1" w:themeShade="BF"/>
    </w:rPr>
  </w:style>
  <w:style w:type="character" w:styleId="IntenseReference">
    <w:name w:val="Intense Reference"/>
    <w:basedOn w:val="DefaultParagraphFont"/>
    <w:uiPriority w:val="32"/>
    <w:qFormat/>
    <w:rsid w:val="00B167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Gunde</dc:creator>
  <cp:keywords/>
  <dc:description/>
  <cp:lastModifiedBy>Akhil Gunde</cp:lastModifiedBy>
  <cp:revision>2</cp:revision>
  <dcterms:created xsi:type="dcterms:W3CDTF">2026-08-31T14:35:00Z</dcterms:created>
  <dcterms:modified xsi:type="dcterms:W3CDTF">2026-08-31T14:42:00Z</dcterms:modified>
</cp:coreProperties>
</file>