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Mémo CTO — cadrage détaillé des prochaines évolutions Hugo</w:t>
      </w:r>
    </w:p>
    <w:p>
      <w:pPr>
        <w:jc w:val="center"/>
      </w:pPr>
      <w:r>
        <w:t>Version de travail pour discussion de faisabilité, de priorisation et de calendrier.</w:t>
      </w:r>
    </w:p>
    <w:p>
      <w:pPr>
        <w:pStyle w:val="Heading2"/>
      </w:pPr>
      <w:r>
        <w:t>1. Objet du mémo</w:t>
      </w:r>
    </w:p>
    <w:p>
      <w:r>
        <w:t>Ce document vise à préparer une discussion de travail avec le CTO sur les prochaines évolutions majeures d’Hugo. Il ne propose pas une SPEC finale, mais un cadrage structuré des choix d’architecture, des dépendances, des risques et d’un ordre de développement réaliste.</w:t>
      </w:r>
    </w:p>
    <w:p>
      <w:r>
        <w:t>Le besoin exprimé n’est pas une simple liste de fonctionnalités. Il s’agit d’une transition de produit : Hugo doit passer d’un POC historiquement centré sur l’assistant réflexif AFEST à une cible d’usage plus large, sans perdre les acquis du runtime actuel ni casser la fiabilité du moteur existant.</w:t>
      </w:r>
    </w:p>
    <w:p>
      <w:pPr>
        <w:pStyle w:val="Heading2"/>
      </w:pPr>
      <w:r>
        <w:t>2. Base de lecture commune</w:t>
      </w:r>
    </w:p>
    <w:p>
      <w:r>
        <w:t>L’état réel à prendre comme point de départ est double. Le moteur conversationnel actuel reste celui du runtime Django orchestré, adossé à TutorPrompt, au noyau P0 et aux décisions de tour déjà en place. En parallèle, la version 1.8 a ajouté une surcouche produit et UX montrable, avec un front apprenant plus propre et un Engagement Engine dérivé hors P0.</w:t>
      </w:r>
    </w:p>
    <w:p>
      <w:r>
        <w:t>Cette distinction est importante pour éviter un malentendu fréquent : Hugo 1.8 n’est pas un nouveau moteur. C’est une nouvelle couche produit au-dessus du même noyau de régulation. Toute évolution doit donc être pensée comme une extension contrôlée de l’orchestrateur existant, pas comme une réinvention complète du moteur.</w:t>
      </w:r>
    </w:p>
    <w:p>
      <w:pPr>
        <w:pStyle w:val="Heading2"/>
      </w:pPr>
      <w:r>
        <w:t>3. Correction de cadrage stratégique</w:t>
      </w:r>
    </w:p>
    <w:p>
      <w:r>
        <w:t>Le POC et plusieurs documents historiques restent formulés dans un cadrage AFEST fort. Cela reste valable pour la posture réflexive, et cette posture garde une grande valeur produit. En revanche, la cible exprimée désormais couvre aussi des usages de diagnostic et d’accompagnement de savoirs, qui ne se laissent pas réduire à un entretien réflexif de type AFEST.</w:t>
      </w:r>
    </w:p>
    <w:p>
      <w:r>
        <w:t>La proposition centrale de ce mémo est donc la suivante : Hugo doit être désormais pensé comme un moteur tutoriel multi-postures piloté par état. L’AFEST réflexif devient un moteur spécialisé majeur, mais non la doctrine commune de tous les modes.</w:t>
      </w:r>
    </w:p>
    <w:p>
      <w:pPr>
        <w:pStyle w:val="Heading2"/>
      </w:pPr>
      <w:r>
        <w:t>4. Thèse d’architecture</w:t>
      </w:r>
    </w:p>
    <w:p>
      <w:r>
        <w:t>Le bon niveau d’abstraction du socle n’est plus la posture AFEST, mais la régulation conversationnelle pilotée par état. Le socle commun doit porter au minimum : l’analyse du tour, la progression de conversation, la gestion d’objectifs d’apprentissage de séance, la mémoire gouvernée, les règles de clôture et de synthèse, l’observabilité, et les garde-fous de sécurité et de confidentialité.</w:t>
      </w:r>
    </w:p>
    <w:p>
      <w:r>
        <w:t>Au-dessus de ce socle, il faut définir des tutorprofiles ou profils de posture. On peut viser au minimum trois profils de départ : diagnostic, réflexif AFEST, savoirs/révision. Chaque profil réutilise le même runtime, mais avec des règles différentes de directivité, de questionnement, de type d’aide, de recours au contenu, de synthèse et d’évaluation.</w:t>
      </w:r>
    </w:p>
    <w:p>
      <w:r>
        <w:t>Cette approche évite deux impasses. Première impasse : surcharger le moteur réflexif AFEST de cas qui ne lui ressemblent plus. Deuxième impasse : créer trois systèmes séparés, difficiles à maintenir et vite divergents.</w:t>
      </w:r>
    </w:p>
    <w:p>
      <w:pPr>
        <w:pStyle w:val="Heading2"/>
      </w:pPr>
      <w:r>
        <w:t>5. Ce qui reste non négociable</w:t>
      </w:r>
    </w:p>
    <w:p>
      <w:r>
        <w:t>Même en sortant du cadrage AFEST global, plusieurs invariants doivent rester communs : backend Django orchestré, TutorPrompt comme brique de configuration runtime, sécurité multi-tenant stricte, confidentialité-first, partage explicite, non-exposition du verbatim non partagé, et tests de non-régression sérieux.</w:t>
      </w:r>
    </w:p>
    <w:p>
      <w:r>
        <w:t>Il faut également conserver une philosophie structurante : le moteur ne doit pas être piloté par un historique brut, ni par l’UI, ni par une logique ludique. Le front produit doit consommer des états dérivés, et non gouverner la conversation à la place du backend.</w:t>
      </w:r>
    </w:p>
    <w:p>
      <w:pPr>
        <w:pStyle w:val="Heading2"/>
      </w:pPr>
      <w:r>
        <w:t>6. Problèmes métier à traiter</w:t>
      </w:r>
    </w:p>
    <w:p>
      <w:r>
        <w:t>Le premier problème est l’écart entre les indicateurs visibles côté apprenant et la réalité pédagogique qu’ils prétendent représenter. Dans l’état 1.8, l’interface est meilleure, mais plusieurs items et barres restent encore trop dépendants des signaux internes conçus d’abord pour le pilotage et le debug.</w:t>
      </w:r>
    </w:p>
    <w:p>
      <w:r>
        <w:t>Le deuxième problème est le calcul de progression. Aujourd’hui, l’interface reflète encore trop le tour courant. Or le besoin réel est de suivre une progression à l’échelle de la conversation, puis à terme à l’échelle de plusieurs conversations.</w:t>
      </w:r>
    </w:p>
    <w:p>
      <w:r>
        <w:t>Le troisième problème est la variété des usages. Diagnostic, réflexif et accompagnement de savoirs n’ont ni le même rythme, ni la même logique de preuve, ni la même façon de clôturer une séquence utile.</w:t>
      </w:r>
    </w:p>
    <w:p>
      <w:r>
        <w:t>Le quatrième problème est la bibliothèque de connaissances et le rôle du formateur. À moyen terme, Hugo doit pouvoir s’appuyer sur des apports structurés, critiquables et versionnés, mêlant référentiels, documents, erreurs fréquentes, critères de maîtrise fins et guidance dialogique pour faire expliciter ce que le formateur sait.</w:t>
      </w:r>
    </w:p>
    <w:p>
      <w:r>
        <w:t>Le cinquième problème est l’industrialisation. L’arrivée de cohortes réelles impose de préparer des métriques exploitables pour suivre la qualité tutorale, les abandons, les faux positifs de progression, les bascules de mode et les gains réels.</w:t>
      </w:r>
    </w:p>
    <w:p>
      <w:pPr>
        <w:pStyle w:val="Heading2"/>
      </w:pPr>
      <w:r>
        <w:t>7. Architecture logique recommandée</w:t>
      </w:r>
    </w:p>
    <w:p>
      <w:r>
        <w:t>L’architecture recommandée ajoute des couches sans casser le runtime actuel.</w:t>
      </w:r>
    </w:p>
    <w:p>
      <w:r>
        <w:t>Couche 1 : noyau local de régulation. Il s’agit du moteur existant, qui continue à analyser le tour, prioriser le geste tutoriel, gérer la charge cognitive, la contradiction, la clarification, la micro-explication bornée et la clôture possible.</w:t>
      </w:r>
    </w:p>
    <w:p>
      <w:r>
        <w:t>Couche 2 : progression conversationnelle. Ce nouveau composant suit l’avancement global de la séance par rapport à des objectifs d’apprentissage et des branches de travail. Il n’évalue pas seulement la qualité du dernier tour, mais la maturité d’un parcours de conversation.</w:t>
      </w:r>
    </w:p>
    <w:p>
      <w:r>
        <w:t>Couche 3 : mémoire gouvernée. On y stocke des éléments structurés inter-session : thèmes, acquis, fragilités, contradictions, continuités, et plus tard préférences d’étayage. Cette mémoire doit rester référentiel-first, tout en autorisant des thèmes émergents reliés quand c’est pertinent.</w:t>
      </w:r>
    </w:p>
    <w:p>
      <w:r>
        <w:t>Couche 4 : tutorprofiles et processus de posture. C’est là qu’on spécialise le comportement par mode sans dédoubler toute l’architecture.</w:t>
      </w:r>
    </w:p>
    <w:p>
      <w:r>
        <w:t>Couche 5 : UI produit dérivée. Le front 1.8 et ses successeurs lisent un modèle d’état produit stabilisé, plus adapté à l’engagement, mais non décisionnaire.</w:t>
      </w:r>
    </w:p>
    <w:p>
      <w:pPr>
        <w:pStyle w:val="Heading2"/>
      </w:pPr>
      <w:r>
        <w:t>8. Proposition de modélisation des modes</w:t>
      </w:r>
    </w:p>
    <w:p>
      <w:r>
        <w:t>Mode diagnostic. Objectif principal : clarifier la situation, faire émerger le problème utile, qualifier l’état des connaissances et orienter le travail suivant. Ce mode peut être plus directif, plus hypothético-vérificatif et plus structurant que le réflexif.</w:t>
      </w:r>
    </w:p>
    <w:p>
      <w:r>
        <w:t>Mode réflexif AFEST. Objectif principal : faire analyser une situation vécue, expliciter l’action, le raisonnement, les ressources mobilisées, les écarts, puis éventuellement préparer une synthèse, un transfert ou une trace. C’est le mode qui conserve le plus fortement les invariants AFEST historiques.</w:t>
      </w:r>
    </w:p>
    <w:p>
      <w:r>
        <w:t>Mode savoirs / révision. Objectif principal : explorer, consolider ou réviser un contenu conceptuel, procédural ou réglementaire, avec davantage d’explicitation, de rappels, de défis ou de vérifications progressives. Ce mode peut légitimement aller plus loin dans l’étayage de contenu, sans retomber dans un chatbot de cours non piloté.</w:t>
      </w:r>
    </w:p>
    <w:p>
      <w:pPr>
        <w:pStyle w:val="Heading2"/>
      </w:pPr>
      <w:r>
        <w:t>9. Progression conversationnelle : principe recommandé</w:t>
      </w:r>
    </w:p>
    <w:p>
      <w:r>
        <w:t>Le besoin majeur est de quitter une représentation trop locale du progrès. La progression visible doit reposer sur des objets de conversation plus stables que le tour courant.</w:t>
      </w:r>
    </w:p>
    <w:p>
      <w:r>
        <w:t>La bonne unité de travail semble être une branche couplant une situation ou un thème avec un objectif pédagogique. Une conversation peut avoir une branche principale, quelques branches secondaires limitées, et des statuts d’exploration ou de maturité différents selon le mode actif.</w:t>
      </w:r>
    </w:p>
    <w:p>
      <w:r>
        <w:t>Ce moteur doit calculer au minimum : branches actives, branche prioritaire, dispersion, niveau de couverture ou d’exploration, conditions de synthèse possible, conditions d’évaluation facultative, et raisons du passage rouge/orange/vert si une signalétique de ce type est retenue.</w:t>
      </w:r>
    </w:p>
    <w:p>
      <w:pPr>
        <w:pStyle w:val="Heading2"/>
      </w:pPr>
      <w:r>
        <w:t>10. Front 1.8 et interface d’engagement</w:t>
      </w:r>
    </w:p>
    <w:p>
      <w:r>
        <w:t>Le nouveau front 1.8 a déjà validé une direction utile : une interface montrable peut être construite au-dessus du moteur sans réécrire ce moteur. Cette séparation doit être conservée.</w:t>
      </w:r>
    </w:p>
    <w:p>
      <w:r>
        <w:t>En revanche, les indicateurs visibles doivent être repris. À court terme, on peut encore utiliser des signaux natifs du runtime pour stabiliser l’interface. Mais il faut formaliser un UIState dédié, distinct des variables de debug, afin que les éléments visibles soient plus lisibles, plus graphiques et plus orientés engagement sans dégrader la vérité pédagogique.</w:t>
      </w:r>
    </w:p>
    <w:p>
      <w:r>
        <w:t>Le principe à préserver est le suivant : la couche d’engagement soutient la progression visible, la clarté et le sentiment d’accomplissement. Elle ne doit jamais récompenser le bruit conversationnel, ni imposer des logiques de rétention qui entrent en conflit avec la qualité tutorale.</w:t>
      </w:r>
    </w:p>
    <w:p>
      <w:pPr>
        <w:pStyle w:val="Heading2"/>
      </w:pPr>
      <w:r>
        <w:t>11. Mémoire inter-session</w:t>
      </w:r>
    </w:p>
    <w:p>
      <w:r>
        <w:t>La mémoire longue n’a pas besoin d’être totale pour être utile. Il faut commencer par une mémoire thématique et structurée, adossée aux objectifs d’apprentissage et aux thèmes travaillés.</w:t>
      </w:r>
    </w:p>
    <w:p>
      <w:r>
        <w:t>Cette mémoire doit servir à trois choses : réactiver des éléments utiles d’une séance à l’autre, éviter de recommencer indéfiniment les mêmes échanges, et permettre à Hugo de relier les progrès ou fragilités à un parcours d’apprentissage plus long.</w:t>
      </w:r>
    </w:p>
    <w:p>
      <w:r>
        <w:t>À ce stade, la recommandation est d’éviter toute promesse de mémoire implicite opaque. La mémoire doit rester gouvernée, traçable dans ses métadonnées et compatible avec la doctrine de confidentialité existante.</w:t>
      </w:r>
    </w:p>
    <w:p>
      <w:pPr>
        <w:pStyle w:val="Heading2"/>
      </w:pPr>
      <w:r>
        <w:t>12. Base de connaissances et rôle du formateur</w:t>
      </w:r>
    </w:p>
    <w:p>
      <w:r>
        <w:t>Le chantier formateur doit être pensé comme une brique produit à part entière. Le formateur ne fournit pas seulement des documents : il apporte aussi des critères de maîtrise, des erreurs fréquentes, des raisonnements attendus ou à éviter, et des priorités d’enseignement souvent absentes des référentiels bruts.</w:t>
      </w:r>
    </w:p>
    <w:p>
      <w:r>
        <w:t>Il faut donc prévoir deux voies complémentaires. Première voie : ingestion documentaire, y compris PDF texte, puis plus tard documents scannés et images avec OCR/vision. Deuxième voie : interface dialogique d’explicitation qui aide le formateur à produire une connaissance exploitable même s’il est peu formalisant.</w:t>
      </w:r>
    </w:p>
    <w:p>
      <w:r>
        <w:t>Une partie de ces apports pourra produire des critères provisoires. Mais il faut distinguer clairement ce qui est déclaré, dérivé provisoirement et validé humainement.</w:t>
      </w:r>
    </w:p>
    <w:p>
      <w:pPr>
        <w:pStyle w:val="Heading2"/>
      </w:pPr>
      <w:r>
        <w:t>13. Observabilité et cohorte</w:t>
      </w:r>
    </w:p>
    <w:p>
      <w:r>
        <w:t>Le système doit être instrumenté dès les premiers lots. Sinon, les prochaines cohortes produiront beaucoup de matière, mais peu de capacité d’apprentissage produit.</w:t>
      </w:r>
    </w:p>
    <w:p>
      <w:r>
        <w:t>Les métriques utiles ne sont pas seulement des volumes d’usage. Il faut suivre aussi la qualité tutorale : répétitions inutiles, stagnation, dérive magistrale, recours excessif à certains modes, fréquence des bascules vers la synthèse, faux verts, faux bilans, abandons précoces, ou incapacité récurrente à atteindre une matière suffisante.</w:t>
      </w:r>
    </w:p>
    <w:p>
      <w:r>
        <w:t>Cette observabilité doit rester structurée et respecter l’interdiction d’exposer du texte brut non partagé.</w:t>
      </w:r>
    </w:p>
    <w:p>
      <w:pPr>
        <w:pStyle w:val="Heading2"/>
      </w:pPr>
      <w:r>
        <w:t>14. Faisabilité technique</w:t>
      </w:r>
    </w:p>
    <w:p>
      <w:r>
        <w:t>La proposition est faisable si elle reste incrémentale et repo-first. La pire option serait de repartir dans une refonte générale, ou de multiplier les sous-systèmes peu raccordés entre eux.</w:t>
      </w:r>
    </w:p>
    <w:p>
      <w:r>
        <w:t>Le backend actuel fournit déjà de bons points d’appui : orchestrateur de tour, buildTeachingPlan, décision locale, TutorPrompt, signaux runtime et front 1.8 découplé. La faisabilité dépend donc moins de l’infrastructure que de la discipline de modélisation.</w:t>
      </w:r>
    </w:p>
    <w:p>
      <w:r>
        <w:t>Le vrai enjeu est de ne pas mélanger les couches : un état conversationnel n’est pas un indicateur UI ; un critère provisoire n’est pas un critère validé ; un profil de posture n’est pas un prompt isolé ; et un mécanisme d’engagement n’est pas un pilote pédagogique.</w:t>
      </w:r>
    </w:p>
    <w:p>
      <w:pPr>
        <w:pStyle w:val="Heading2"/>
      </w:pPr>
      <w:r>
        <w:t>15. Ordre d’implémentation recommandé</w:t>
      </w:r>
    </w:p>
    <w:p>
      <w:r>
        <w:t>Lot 0 — réalignement sémantique et contrats. Formaliser la cible multi-postures, les objets d’état, les branches de progression, les reason codes, les conditions de synthèse et la sémantique des profils. Mettre à jour docs, tests et artefacts dérivés.</w:t>
      </w:r>
    </w:p>
    <w:p>
      <w:r>
        <w:t>Lot 1 — moteur de progression conversationnelle. Ajouter les objets et calculs nécessaires pour suivre la séance à l’échelle globale. Ce lot crée la base de la plupart des gains visibles ultérieurs.</w:t>
      </w:r>
    </w:p>
    <w:p>
      <w:r>
        <w:t>Lot 2 — UIState produit et adaptation du front 1.8. Rebrancher les indicateurs visibles sur un modèle dérivé propre. C’est là qu’on peut commencer à améliorer franchement l’engagement sans fragiliser le moteur.</w:t>
      </w:r>
    </w:p>
    <w:p>
      <w:r>
        <w:t>Lot 3 — profils de posture. Mettre en place les trois premiers profils sur le même runtime : diagnostic, réflexif AFEST, savoirs/révision. Encadrer aussi les transitions et les règles de clôture.</w:t>
      </w:r>
    </w:p>
    <w:p>
      <w:r>
        <w:t>Lot 4 — mémoire inter-session. Stabiliser la mémoire thématique, les liens au référentiel et les premiers usages inter-conversations.</w:t>
      </w:r>
    </w:p>
    <w:p>
      <w:r>
        <w:t>Lot 5 — pipeline formateur et base de connaissances. Outiller la collecte, la structuration et la validation des savoirs métier et des critères fins.</w:t>
      </w:r>
    </w:p>
    <w:p>
      <w:r>
        <w:t>Lot 6 — observabilité cohorte. Finaliser les tableaux de suivi, les analyses de qualité et les instruments d’optimisation continue.</w:t>
      </w:r>
    </w:p>
    <w:p>
      <w:pPr>
        <w:pStyle w:val="Heading2"/>
      </w:pPr>
      <w:r>
        <w:t>16. Calendrier de travail proposé</w:t>
      </w:r>
    </w:p>
    <w:p>
      <w:r>
        <w:t>Semaine 1 : arbitrage de cadrage. Valider la sortie du cadrage AFEST global, l’architecture multi-postures et la stratégie de conservation du runtime actuel comme socle.</w:t>
      </w:r>
    </w:p>
    <w:p>
      <w:r>
        <w:t>Semaines 2 à 3 : cadrage technique et chiffrage. Rédiger les contrats d’état, estimer les migrations, impacts API, impacts front et impacts QA.</w:t>
      </w:r>
    </w:p>
    <w:p>
      <w:r>
        <w:t>Semaines 4 à 6 : implémentation du lot 0 et du lot 1. C’est le meilleur point d’entrée pour réduire le risque, car il crée des bases solides sans ouvrir encore tous les chantiers visibles.</w:t>
      </w:r>
    </w:p>
    <w:p>
      <w:r>
        <w:t>Semaines 7 à 9 : UIState produit et premiers ajustements front 1.8.</w:t>
      </w:r>
    </w:p>
    <w:p>
      <w:r>
        <w:t>Semaines 10 à 13 : profils de posture et premières transitions contrôlées entre modes.</w:t>
      </w:r>
    </w:p>
    <w:p>
      <w:r>
        <w:t>Ensuite : mémoire, formateur, observabilité et itérations sur cohortes.</w:t>
      </w:r>
    </w:p>
    <w:p>
      <w:pPr>
        <w:pStyle w:val="Heading2"/>
      </w:pPr>
      <w:r>
        <w:t>17. Tableau d’arbitrage CTO</w:t>
      </w:r>
    </w:p>
    <w:p>
      <w:r>
        <w:t>Le CTO devrait ressortir de la discussion avec des réponses nettes aux questions suivantes :</w:t>
      </w:r>
    </w:p>
    <w:tbl>
      <w:tblPr>
        <w:tblW w:type="auto" w:w="0"/>
        <w:jc w:val="center"/>
        <w:tblLook w:firstColumn="1" w:firstRow="1" w:lastColumn="0" w:lastRow="0" w:noHBand="0" w:noVBand="1" w:val="04A0"/>
      </w:tblPr>
      <w:tblGrid>
        <w:gridCol w:w="2880"/>
        <w:gridCol w:w="2880"/>
        <w:gridCol w:w="2880"/>
      </w:tblGrid>
      <w:tr>
        <w:tc>
          <w:tcPr>
            <w:tcW w:type="dxa" w:w="2880"/>
          </w:tcPr>
          <w:p>
            <w:r>
              <w:t>Sujet</w:t>
            </w:r>
          </w:p>
        </w:tc>
        <w:tc>
          <w:tcPr>
            <w:tcW w:type="dxa" w:w="2880"/>
          </w:tcPr>
          <w:p>
            <w:r>
              <w:t>Décision recommandée</w:t>
            </w:r>
          </w:p>
        </w:tc>
        <w:tc>
          <w:tcPr>
            <w:tcW w:type="dxa" w:w="2880"/>
          </w:tcPr>
          <w:p>
            <w:r>
              <w:t>Commentaire</w:t>
            </w:r>
          </w:p>
        </w:tc>
      </w:tr>
      <w:tr>
        <w:tc>
          <w:tcPr>
            <w:tcW w:type="dxa" w:w="2880"/>
          </w:tcPr>
          <w:p>
            <w:r>
              <w:t>Bascule de cadrage</w:t>
            </w:r>
          </w:p>
        </w:tc>
        <w:tc>
          <w:tcPr>
            <w:tcW w:type="dxa" w:w="2880"/>
          </w:tcPr>
          <w:p>
            <w:r>
              <w:t>Accepter la cible multi-postures et cesser de prendre l’AFEST comme doctrine globale.</w:t>
            </w:r>
          </w:p>
        </w:tc>
        <w:tc>
          <w:tcPr>
            <w:tcW w:type="dxa" w:w="2880"/>
          </w:tcPr>
          <w:p>
            <w:r>
              <w:t>Conditionne tout le reste.</w:t>
            </w:r>
          </w:p>
        </w:tc>
      </w:tr>
      <w:tr>
        <w:tc>
          <w:tcPr>
            <w:tcW w:type="dxa" w:w="2880"/>
          </w:tcPr>
          <w:p>
            <w:r>
              <w:t>Socle technique</w:t>
            </w:r>
          </w:p>
        </w:tc>
        <w:tc>
          <w:tcPr>
            <w:tcW w:type="dxa" w:w="2880"/>
          </w:tcPr>
          <w:p>
            <w:r>
              <w:t>Conserver le runtime Django orchestré, P0 et TutorPrompt comme base.</w:t>
            </w:r>
          </w:p>
        </w:tc>
        <w:tc>
          <w:tcPr>
            <w:tcW w:type="dxa" w:w="2880"/>
          </w:tcPr>
          <w:p>
            <w:r>
              <w:t>Réduit fortement le risque.</w:t>
            </w:r>
          </w:p>
        </w:tc>
      </w:tr>
      <w:tr>
        <w:tc>
          <w:tcPr>
            <w:tcW w:type="dxa" w:w="2880"/>
          </w:tcPr>
          <w:p>
            <w:r>
              <w:t>Progression</w:t>
            </w:r>
          </w:p>
        </w:tc>
        <w:tc>
          <w:tcPr>
            <w:tcW w:type="dxa" w:w="2880"/>
          </w:tcPr>
          <w:p>
            <w:r>
              <w:t>Créer un moteur de progression de conversation distinct du tour courant.</w:t>
            </w:r>
          </w:p>
        </w:tc>
        <w:tc>
          <w:tcPr>
            <w:tcW w:type="dxa" w:w="2880"/>
          </w:tcPr>
          <w:p>
            <w:r>
              <w:t>Priorité haute.</w:t>
            </w:r>
          </w:p>
        </w:tc>
      </w:tr>
      <w:tr>
        <w:tc>
          <w:tcPr>
            <w:tcW w:type="dxa" w:w="2880"/>
          </w:tcPr>
          <w:p>
            <w:r>
              <w:t>Modélisation des modes</w:t>
            </w:r>
          </w:p>
        </w:tc>
        <w:tc>
          <w:tcPr>
            <w:tcW w:type="dxa" w:w="2880"/>
          </w:tcPr>
          <w:p>
            <w:r>
              <w:t>Utiliser des tutorprofiles spécialisés sur un même runtime plutôt que trois systèmes séparés.</w:t>
            </w:r>
          </w:p>
        </w:tc>
        <w:tc>
          <w:tcPr>
            <w:tcW w:type="dxa" w:w="2880"/>
          </w:tcPr>
          <w:p>
            <w:r>
              <w:t>Meilleure maintenabilité.</w:t>
            </w:r>
          </w:p>
        </w:tc>
      </w:tr>
      <w:tr>
        <w:tc>
          <w:tcPr>
            <w:tcW w:type="dxa" w:w="2880"/>
          </w:tcPr>
          <w:p>
            <w:r>
              <w:t>UI</w:t>
            </w:r>
          </w:p>
        </w:tc>
        <w:tc>
          <w:tcPr>
            <w:tcW w:type="dxa" w:w="2880"/>
          </w:tcPr>
          <w:p>
            <w:r>
              <w:t>Créer un UIState dérivé propre avant d’intensifier la couche engagement.</w:t>
            </w:r>
          </w:p>
        </w:tc>
        <w:tc>
          <w:tcPr>
            <w:tcW w:type="dxa" w:w="2880"/>
          </w:tcPr>
          <w:p>
            <w:r>
              <w:t>Évite les couplages malsains.</w:t>
            </w:r>
          </w:p>
        </w:tc>
      </w:tr>
      <w:tr>
        <w:tc>
          <w:tcPr>
            <w:tcW w:type="dxa" w:w="2880"/>
          </w:tcPr>
          <w:p>
            <w:r>
              <w:t>Mémoire</w:t>
            </w:r>
          </w:p>
        </w:tc>
        <w:tc>
          <w:tcPr>
            <w:tcW w:type="dxa" w:w="2880"/>
          </w:tcPr>
          <w:p>
            <w:r>
              <w:t>Commencer par une mémoire thématique gouvernée, pas par une mémoire totale.</w:t>
            </w:r>
          </w:p>
        </w:tc>
        <w:tc>
          <w:tcPr>
            <w:tcW w:type="dxa" w:w="2880"/>
          </w:tcPr>
          <w:p>
            <w:r>
              <w:t>Complexité maîtrisée.</w:t>
            </w:r>
          </w:p>
        </w:tc>
      </w:tr>
      <w:tr>
        <w:tc>
          <w:tcPr>
            <w:tcW w:type="dxa" w:w="2880"/>
          </w:tcPr>
          <w:p>
            <w:r>
              <w:t>Formateur</w:t>
            </w:r>
          </w:p>
        </w:tc>
        <w:tc>
          <w:tcPr>
            <w:tcW w:type="dxa" w:w="2880"/>
          </w:tcPr>
          <w:p>
            <w:r>
              <w:t>Prévoir très tôt le rôle du formateur dans la structuration du savoir et des critères fins.</w:t>
            </w:r>
          </w:p>
        </w:tc>
        <w:tc>
          <w:tcPr>
            <w:tcW w:type="dxa" w:w="2880"/>
          </w:tcPr>
          <w:p>
            <w:r>
              <w:t>Nécessaire pour la qualité.</w:t>
            </w:r>
          </w:p>
        </w:tc>
      </w:tr>
      <w:tr>
        <w:tc>
          <w:tcPr>
            <w:tcW w:type="dxa" w:w="2880"/>
          </w:tcPr>
          <w:p>
            <w:r>
              <w:t>Cohortes</w:t>
            </w:r>
          </w:p>
        </w:tc>
        <w:tc>
          <w:tcPr>
            <w:tcW w:type="dxa" w:w="2880"/>
          </w:tcPr>
          <w:p>
            <w:r>
              <w:t>Instrumenter dès le départ la qualité tutorale et les trajectoires d’usage.</w:t>
            </w:r>
          </w:p>
        </w:tc>
        <w:tc>
          <w:tcPr>
            <w:tcW w:type="dxa" w:w="2880"/>
          </w:tcPr>
          <w:p>
            <w:r>
              <w:t>Indispensable pour l’amélioration produit.</w:t>
            </w:r>
          </w:p>
        </w:tc>
      </w:tr>
    </w:tbl>
    <w:p>
      <w:pPr>
        <w:pStyle w:val="Heading2"/>
      </w:pPr>
      <w:r>
        <w:t>18. Risques principaux si l’ordre n’est pas respecté</w:t>
      </w:r>
    </w:p>
    <w:p>
      <w:r>
        <w:t>Risque 1 : refaire de l’UX avant de stabiliser les états. On obtiendrait une interface plus séduisante, mais toujours branchée sur des signaux trop fragiles ou trop internes.</w:t>
      </w:r>
    </w:p>
    <w:p>
      <w:r>
        <w:t>Risque 2 : étendre le moteur réflexif AFEST comme s’il devait tout porter. Cela ralentirait le diagnostic et le mode savoirs, tout en alourdissant le moteur historique.</w:t>
      </w:r>
    </w:p>
    <w:p>
      <w:r>
        <w:t>Risque 3 : multiplier les prompts ou agents sans couche de contrats backend testable. On augmenterait très vite la dette comportementale et la difficulté de QA.</w:t>
      </w:r>
    </w:p>
    <w:p>
      <w:r>
        <w:t>Risque 4 : lancer trop tôt la mémoire longue sans modèle intermédiaire clair. Cela créerait un système coûteux, opaque et difficile à gouverner.</w:t>
      </w:r>
    </w:p>
    <w:p>
      <w:r>
        <w:t>Risque 5 : attendre les cohortes sans instrumentation. On accumulerait des conversations sans capacité d’analyse exploitable.</w:t>
      </w:r>
    </w:p>
    <w:p>
      <w:pPr>
        <w:pStyle w:val="Heading2"/>
      </w:pPr>
      <w:r>
        <w:t>19. Recommandation finale</w:t>
      </w:r>
    </w:p>
    <w:p>
      <w:r>
        <w:t>La ligne directrice proposée est de généraliser Hugo au-dessus de ses acquis, pas de repartir de zéro. Le moteur actuel doit être conservé comme socle de régulation locale, puis enrichi progressivement par des couches explicites de progression, de mémoire, de posture et de traduction produit.</w:t>
      </w:r>
    </w:p>
    <w:p>
      <w:r>
        <w:t>Cette stratégie a l’avantage de rester compatible avec l’état réel 1.8, de capitaliser sur le backend existant et de réduire le risque d’implémentation. Elle permet aussi de clarifier politiquement la suite : l’AFEST reste une composante forte, mais Hugo n’est plus défini par l’AFEST seul.</w:t>
      </w:r>
    </w:p>
    <w:p>
      <w:r>
        <w:t>La première discussion CTO utile n’est donc pas une discussion de fonctionnalités. C’est une discussion d’abstraction produit et d’ordre de construction.</w:t>
      </w:r>
    </w:p>
    <w:p>
      <w:pPr>
        <w:pStyle w:val="Heading2"/>
      </w:pPr>
      <w:r>
        <w:t>20. Base documentaire de ce mémo</w:t>
      </w:r>
    </w:p>
    <w:p>
      <w:r>
        <w:t>Ce document a été rédigé à partir de l’état 1.8 réellement implémenté, de la SPEC POC patchée du 27/03/2026, de l’addendum d’implémentation pour dev et du cadrage Hugo 1.6. Il tient compte du fait que le POC historique est formulé en AFEST, tout en intégrant explicitement la nécessité d’une cible d’usage plus large pour les développements à venir.</w:t>
      </w:r>
    </w:p>
    <w:p>
      <w:r>
        <w:t>En cas de conflit entre documents plus anciens et état réel observé, il convient de faire primer les documents décrivant le runtime actuel et l’état 1.8 mis en œuvre, puis le cadrage 1.6 pour la cible comportementale, tout en traitant les formulations AFEST globales de la SPEC POC comme des contraintes du périmètre historique du POC et non comme un plafond pour la cible produit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