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Briefing CTO — Convergence Hugo 2.0</w:t>
      </w:r>
    </w:p>
    <w:p>
      <w:pPr>
        <w:jc w:val="center"/>
      </w:pPr>
      <w:r>
        <w:t>Campagne de tests complétude · 2026-06-18</w:t>
      </w:r>
    </w:p>
    <w:p>
      <w:pPr>
        <w:pStyle w:val="Heading1"/>
      </w:pPr>
      <w:r>
        <w:t>1. Objet de ce document</w:t>
      </w:r>
    </w:p>
    <w:p>
      <w:r>
        <w:t>Ce briefing synthétise le travail de convergence réalisé localement entre le Hugo réel (backend Django + front apprenant 1.8) et la cible spec 2.0, ainsi qu’une campagne de tests backend et front exécutée le 18 juin 2026. Il vise à vous permettre de décider quoi conserver, quoi refaire, et comment mettre en ligne de manière sécurisée pour validation.</w:t>
      </w:r>
    </w:p>
    <w:p>
      <w:pPr>
        <w:pStyle w:val="Heading1"/>
      </w:pPr>
      <w:r>
        <w:t>2. Ce qui a été fait (réel livré local)</w:t>
      </w:r>
    </w:p>
    <w:p>
      <w:r>
        <w:t>Lots documentés clusters 2 à 16 : matrice 13 domaines (V5), écarts par domaine, protocoles de test, oracles par persona. Côté produit :</w:t>
      </w:r>
    </w:p>
    <w:p>
      <w:pPr>
        <w:pStyle w:val="ListBullet"/>
      </w:pPr>
      <w:r>
        <w:t>UIState canonique (scène, progression, CTA, conversation_mode, profils d’affichage).</w:t>
      </w:r>
    </w:p>
    <w:p>
      <w:pPr>
        <w:pStyle w:val="ListBullet"/>
      </w:pPr>
      <w:r>
        <w:t>Posture apprenant : API set-posture + PostureSelector (transitions backend).</w:t>
      </w:r>
    </w:p>
    <w:p>
      <w:pPr>
        <w:pStyle w:val="ListBullet"/>
      </w:pPr>
      <w:r>
        <w:t>Mémoire intra-conversation : memory-summary + panneau LearnerMemoryPanel.</w:t>
      </w:r>
    </w:p>
    <w:p>
      <w:pPr>
        <w:pStyle w:val="ListBullet"/>
      </w:pPr>
      <w:r>
        <w:t>CTA synthèse/évaluation dont état advisory « déconseillé mais possible ».</w:t>
      </w:r>
    </w:p>
    <w:p>
      <w:pPr>
        <w:pStyle w:val="ListBullet"/>
      </w:pPr>
      <w:r>
        <w:t>Bandeau scène/objectif/maturité/dispersion (LearnerSceneContextBar).</w:t>
      </w:r>
    </w:p>
    <w:p>
      <w:pPr>
        <w:pStyle w:val="ListBullet"/>
      </w:pPr>
      <w:r>
        <w:t>Trois profils d’affichage youth/adult/professional (même contenu, rendu différencié).</w:t>
      </w:r>
    </w:p>
    <w:p>
      <w:pPr>
        <w:pStyle w:val="ListBullet"/>
      </w:pPr>
      <w:r>
        <w:t>Interfaces formateur V0 : tableau knowledge, validation, élicitation.</w:t>
      </w:r>
    </w:p>
    <w:p>
      <w:pPr>
        <w:pStyle w:val="ListBullet"/>
      </w:pPr>
      <w:r>
        <w:t>Garde-fous confidentialité : pas de P0/verbatim en UIState ; timeline tuteur filtrée.</w:t>
      </w:r>
    </w:p>
    <w:p>
      <w:pPr>
        <w:pStyle w:val="Heading1"/>
      </w:pPr>
      <w:r>
        <w:t>3. Résultats campagne de tests (local)</w:t>
      </w:r>
    </w:p>
    <w:p>
      <w:r>
        <w:t>Environnement : local · Backend pytest · Front Playwright (Vite proxy /api).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Campagne</w:t>
            </w:r>
          </w:p>
        </w:tc>
        <w:tc>
          <w:tcPr>
            <w:tcW w:type="dxa" w:w="2880"/>
          </w:tcPr>
          <w:p>
            <w:r>
              <w:t>Résultat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Backend convergence (116 tests)</w:t>
            </w:r>
          </w:p>
        </w:tc>
        <w:tc>
          <w:tcPr>
            <w:tcW w:type="dxa" w:w="2880"/>
          </w:tcPr>
          <w:p>
            <w:r>
              <w:t>116 PASS</w:t>
            </w:r>
          </w:p>
        </w:tc>
        <w:tc>
          <w:tcPr>
            <w:tcW w:type="dxa" w:w="2880"/>
          </w:tcPr>
          <w:p>
            <w:r>
              <w:t>Clusters 3/4/15/16, mémoire, CTA, RAG, observabilité, encadrants</w:t>
            </w:r>
          </w:p>
        </w:tc>
      </w:tr>
      <w:tr>
        <w:tc>
          <w:tcPr>
            <w:tcW w:type="dxa" w:w="2880"/>
          </w:tcPr>
          <w:p>
            <w:r>
              <w:t>Backend complémentaire (52 tests)</w:t>
            </w:r>
          </w:p>
        </w:tc>
        <w:tc>
          <w:tcPr>
            <w:tcW w:type="dxa" w:w="2880"/>
          </w:tcPr>
          <w:p>
            <w:r>
              <w:t>52 PASS</w:t>
            </w:r>
          </w:p>
        </w:tc>
        <w:tc>
          <w:tcPr>
            <w:tcW w:type="dxa" w:w="2880"/>
          </w:tcPr>
          <w:p>
            <w:r>
              <w:t>P0, phases, exports, quality signals, trainer API</w:t>
            </w:r>
          </w:p>
        </w:tc>
      </w:tr>
      <w:tr>
        <w:tc>
          <w:tcPr>
            <w:tcW w:type="dxa" w:w="2880"/>
          </w:tcPr>
          <w:p>
            <w:r>
              <w:t>Total backend</w:t>
            </w:r>
          </w:p>
        </w:tc>
        <w:tc>
          <w:tcPr>
            <w:tcW w:type="dxa" w:w="2880"/>
          </w:tcPr>
          <w:p>
            <w:r>
              <w:t>168 PASS</w:t>
            </w:r>
          </w:p>
        </w:tc>
        <w:tc>
          <w:tcPr>
            <w:tcW w:type="dxa" w:w="2880"/>
          </w:tcPr>
          <w:p>
            <w:r>
              <w:t>~2 min 15 s</w:t>
            </w:r>
          </w:p>
        </w:tc>
      </w:tr>
      <w:tr>
        <w:tc>
          <w:tcPr>
            <w:tcW w:type="dxa" w:w="2880"/>
          </w:tcPr>
          <w:p>
            <w:r>
              <w:t>Playwright complet (20 tests)</w:t>
            </w:r>
          </w:p>
        </w:tc>
        <w:tc>
          <w:tcPr>
            <w:tcW w:type="dxa" w:w="2880"/>
          </w:tcPr>
          <w:p>
            <w:r>
              <w:t>19 PASS / 1 FAIL</w:t>
            </w:r>
          </w:p>
        </w:tc>
        <w:tc>
          <w:tcPr>
            <w:tcW w:type="dxa" w:w="2880"/>
          </w:tcPr>
          <w:p>
            <w:r>
              <w:t>Échec = libellé titre formateur obsolète dans le test, pas bug produit</w:t>
            </w:r>
          </w:p>
        </w:tc>
      </w:tr>
      <w:tr>
        <w:tc>
          <w:tcPr>
            <w:tcW w:type="dxa" w:w="2880"/>
          </w:tcPr>
          <w:p>
            <w:r>
              <w:t>Cluster 16 apprenant (10 tests)</w:t>
            </w:r>
          </w:p>
        </w:tc>
        <w:tc>
          <w:tcPr>
            <w:tcW w:type="dxa" w:w="2880"/>
          </w:tcPr>
          <w:p>
            <w:r>
              <w:t>10 PASS</w:t>
            </w:r>
          </w:p>
        </w:tc>
        <w:tc>
          <w:tcPr>
            <w:tcW w:type="dxa" w:w="2880"/>
          </w:tcPr>
          <w:p>
            <w:r>
              <w:t>Posture, mémoire, scène, profils A1/A2/A3</w:t>
            </w:r>
          </w:p>
        </w:tc>
      </w:tr>
    </w:tbl>
    <w:p>
      <w:pPr>
        <w:pStyle w:val="Heading1"/>
      </w:pPr>
      <w:r>
        <w:t>4. Ce qui fonctionne à coup sûr (preuves automatisées)</w:t>
      </w:r>
    </w:p>
    <w:p>
      <w:pPr>
        <w:pStyle w:val="ListBullet"/>
      </w:pPr>
      <w:r>
        <w:t>Contrats UIState sans fuite P0 (INV-01, cluster 3/4/16).</w:t>
      </w:r>
    </w:p>
    <w:p>
      <w:pPr>
        <w:pStyle w:val="ListBullet"/>
      </w:pPr>
      <w:r>
        <w:t>Mémoire gouvernée sans verbatim dans session_memory (domaine 20).</w:t>
      </w:r>
    </w:p>
    <w:p>
      <w:pPr>
        <w:pStyle w:val="ListBullet"/>
      </w:pPr>
      <w:r>
        <w:t>CTA backend-driven cohérents avec blocking_reasons et advisory.</w:t>
      </w:r>
    </w:p>
    <w:p>
      <w:pPr>
        <w:pStyle w:val="ListBullet"/>
      </w:pPr>
      <w:r>
        <w:t>Posture : transitions API + refus propre + sync UIState.</w:t>
      </w:r>
    </w:p>
    <w:p>
      <w:pPr>
        <w:pStyle w:val="ListBullet"/>
      </w:pPr>
      <w:r>
        <w:t>Confidentialité multi-tenant : IDOR ui-state, verbatim masqué tuteur (B1-01).</w:t>
      </w:r>
    </w:p>
    <w:p>
      <w:pPr>
        <w:pStyle w:val="ListBullet"/>
      </w:pPr>
      <w:r>
        <w:t>Exports ORGADMIN tenant-scoped ; trainer/tutor bloqués.</w:t>
      </w:r>
    </w:p>
    <w:p>
      <w:pPr>
        <w:pStyle w:val="ListBullet"/>
      </w:pPr>
      <w:r>
        <w:t>RAG lexical gouverné (pas vectoriel).</w:t>
      </w:r>
    </w:p>
    <w:p>
      <w:pPr>
        <w:pStyle w:val="ListBullet"/>
      </w:pPr>
      <w:r>
        <w:t>Interface apprenant E2E : posture, progression, mémoire panneau, 3 profils.</w:t>
      </w:r>
    </w:p>
    <w:p>
      <w:pPr>
        <w:pStyle w:val="ListBullet"/>
      </w:pPr>
      <w:r>
        <w:t>Tuteur / COORDO / exports orgadmin Playwright OK.</w:t>
      </w:r>
    </w:p>
    <w:p>
      <w:pPr>
        <w:pStyle w:val="Heading1"/>
      </w:pPr>
      <w:r>
        <w:t>5. Ce qui ne fonctionne pas ou reste non prouvé</w:t>
      </w:r>
    </w:p>
    <w:p>
      <w:r>
        <w:t>Distinction : échec test vs lacune produit vs non testé en prod.</w:t>
      </w:r>
    </w:p>
    <w:p>
      <w:pPr>
        <w:pStyle w:val="ListBullet"/>
      </w:pPr>
      <w:r>
        <w:rPr>
          <w:b/>
        </w:rPr>
        <w:t xml:space="preserve"> — titre attendu « Espace formateur » alors que la page affiche « Orchestrateur de connaissance ». API et tableau OK. Correction = test uniquement.</w:t>
      </w:r>
      <w:r>
        <w:t>Échec Playwright trainer smoke</w:t>
      </w:r>
    </w:p>
    <w:p>
      <w:pPr>
        <w:pStyle w:val="ListBullet"/>
      </w:pPr>
      <w:r>
        <w:rPr>
          <w:b/>
        </w:rPr>
        <w:t xml:space="preserve"> — parité non tranchée (A_VÉRIFIER). Oracles JSON préparés, credentials requis.</w:t>
      </w:r>
      <w:r>
        <w:t>Encoors / prod distante</w:t>
      </w:r>
    </w:p>
    <w:p>
      <w:pPr>
        <w:pStyle w:val="ListBullet"/>
      </w:pPr>
      <w:r>
        <w:rPr>
          <w:b/>
        </w:rPr>
        <w:t xml:space="preserve"> — script SQL fourni, non exécuté sur prod.</w:t>
      </w:r>
      <w:r>
        <w:t>RLS PostgreSQL prod</w:t>
      </w:r>
    </w:p>
    <w:p>
      <w:pPr>
        <w:pStyle w:val="ListBullet"/>
      </w:pPr>
      <w:r>
        <w:rPr>
          <w:b/>
        </w:rPr>
        <w:t xml:space="preserve"> — P0/phases testés unitairement ; pas de campagne multi-tours avec LLM réel.</w:t>
      </w:r>
      <w:r>
        <w:t>Qualité conversationnelle bout-en-bout LLM</w:t>
      </w:r>
    </w:p>
    <w:p>
      <w:pPr>
        <w:pStyle w:val="ListBullet"/>
      </w:pPr>
      <w:r>
        <w:rPr>
          <w:b/>
        </w:rPr>
        <w:t xml:space="preserve"> — CIBLE, 0 implémentation.</w:t>
      </w:r>
      <w:r>
        <w:t>Intercalaires v1 (domaine 120)</w:t>
      </w:r>
    </w:p>
    <w:p>
      <w:pPr>
        <w:pStyle w:val="ListBullet"/>
      </w:pPr>
      <w:r>
        <w:rPr>
          <w:b/>
        </w:rPr>
        <w:t xml:space="preserve"> — CIBLE, pgvector inactif.</w:t>
      </w:r>
      <w:r>
        <w:t>RAG vectoriel</w:t>
      </w:r>
    </w:p>
    <w:p>
      <w:pPr>
        <w:pStyle w:val="ListBullet"/>
      </w:pPr>
      <w:r>
        <w:rPr>
          <w:b/>
        </w:rPr>
        <w:t xml:space="preserve"> — CIBLE, pas de surface ORGADMIN dédiée.</w:t>
      </w:r>
      <w:r>
        <w:t>Choix profil cohorte IFT-042</w:t>
      </w:r>
    </w:p>
    <w:p>
      <w:pPr>
        <w:pStyle w:val="ListBullet"/>
      </w:pPr>
      <w:r>
        <w:rPr>
          <w:b/>
        </w:rPr>
        <w:t xml:space="preserve"> — PARTIEL ; transitions posture OK, règle phase/tours explicite absente.</w:t>
      </w:r>
      <w:r>
        <w:t>Verrou posture « séance avancée »</w:t>
      </w:r>
    </w:p>
    <w:p>
      <w:pPr>
        <w:pStyle w:val="ListBullet"/>
      </w:pPr>
      <w:r>
        <w:rPr>
          <w:b/>
        </w:rPr>
        <w:t xml:space="preserve"> — hors lot 1, non livré.</w:t>
      </w:r>
      <w:r>
        <w:t>Injection mémoire gouvernée dans prompt tour</w:t>
      </w:r>
    </w:p>
    <w:p>
      <w:pPr>
        <w:pStyle w:val="ListBullet"/>
      </w:pPr>
      <w:r>
        <w:rPr>
          <w:b/>
        </w:rPr>
        <w:t xml:space="preserve"> — stockage préparé, pas injecté runtime tour.</w:t>
      </w:r>
      <w:r>
        <w:t>Mémoire inter-sessions (LearnerThemeMemory)</w:t>
      </w:r>
    </w:p>
    <w:p>
      <w:pPr>
        <w:pStyle w:val="Heading1"/>
      </w:pPr>
      <w:r>
        <w:t>6. Prochaines développements recommandés (priorisation)</w:t>
      </w:r>
    </w:p>
    <w:p>
      <w:r>
        <w:t>Ordre suggéré pour la vague 2.1 :</w:t>
      </w:r>
    </w:p>
    <w:p>
      <w:pPr>
        <w:pStyle w:val="ListNumber"/>
      </w:pPr>
      <w:r>
        <w:rPr>
          <w:b/>
        </w:rPr>
        <w:t xml:space="preserve">P0 — Mise en ligne sécurisée : </w:t>
      </w:r>
      <w:r>
        <w:t>Staging + smoke pytest + Playwright CI ; pas de prod directe.</w:t>
      </w:r>
    </w:p>
    <w:p>
      <w:pPr>
        <w:pStyle w:val="ListNumber"/>
      </w:pPr>
      <w:r>
        <w:rPr>
          <w:b/>
        </w:rPr>
        <w:t xml:space="preserve">P1 — Stabilisation tests : </w:t>
      </w:r>
      <w:r>
        <w:t>Corriger smoke trainer ; ajouter U16-S2b advisory ; scénarios manuels S16.</w:t>
      </w:r>
    </w:p>
    <w:p>
      <w:pPr>
        <w:pStyle w:val="ListNumber"/>
      </w:pPr>
      <w:r>
        <w:rPr>
          <w:b/>
        </w:rPr>
        <w:t xml:space="preserve">P1 — Encoors : </w:t>
      </w:r>
      <w:r>
        <w:t>Exécuter encoors_oracle.py avec credentials ; comparer JSON local.</w:t>
      </w:r>
    </w:p>
    <w:p>
      <w:pPr>
        <w:pStyle w:val="ListNumber"/>
      </w:pPr>
      <w:r>
        <w:rPr>
          <w:b/>
        </w:rPr>
        <w:t xml:space="preserve">P2 — Qualité conversationnelle : </w:t>
      </w:r>
      <w:r>
        <w:t>Campagne multi-configurations (postures × maturités × profils) avec LLM ou mocks documentés.</w:t>
      </w:r>
    </w:p>
    <w:p>
      <w:pPr>
        <w:pStyle w:val="ListNumber"/>
      </w:pPr>
      <w:r>
        <w:rPr>
          <w:b/>
        </w:rPr>
        <w:t xml:space="preserve">P2 — IFT-042 : </w:t>
      </w:r>
      <w:r>
        <w:t>Surface minimale choix profil cohorte.</w:t>
      </w:r>
    </w:p>
    <w:p>
      <w:pPr>
        <w:pStyle w:val="ListNumber"/>
      </w:pPr>
      <w:r>
        <w:rPr>
          <w:b/>
        </w:rPr>
        <w:t xml:space="preserve">P3 — Couronne : </w:t>
      </w:r>
      <w:r>
        <w:t>Intercalaires, RAG vectoriel, D9bis dashboards — hors cœur convergence.</w:t>
      </w:r>
    </w:p>
    <w:p>
      <w:pPr>
        <w:pStyle w:val="Heading1"/>
      </w:pPr>
      <w:r>
        <w:t>7. Mise en ligne sécurisée — proposition</w:t>
      </w:r>
    </w:p>
    <w:p>
      <w:r>
        <w:t>Recommandation : déploiement par paliers sur environnement de préproduction dédié, sans exposition des surfaces tester/debug.</w:t>
      </w:r>
    </w:p>
    <w:p>
      <w:pPr>
        <w:pStyle w:val="ListBullet"/>
      </w:pPr>
      <w:r>
        <w:t>Branche feature convergence — revue diff limitée aux domaines 10/20/31/70/110.</w:t>
      </w:r>
    </w:p>
    <w:p>
      <w:pPr>
        <w:pStyle w:val="ListBullet"/>
      </w:pPr>
      <w:r>
        <w:t>Migration Django + bootstrap smoke (utilisateurs démo isolés).</w:t>
      </w:r>
    </w:p>
    <w:p>
      <w:pPr>
        <w:pStyle w:val="ListBullet"/>
      </w:pPr>
      <w:r>
        <w:t>Pipeline CI : pytest noyau (168 tests) + Playwright cluster16 + smokes encadrants.</w:t>
      </w:r>
    </w:p>
    <w:p>
      <w:pPr>
        <w:pStyle w:val="ListBullet"/>
      </w:pPr>
      <w:r>
        <w:t>Checklist manuelle persona A1/A2/A3 (30 min) — protocole cluster16 §4.</w:t>
      </w:r>
    </w:p>
    <w:p>
      <w:pPr>
        <w:pStyle w:val="ListBullet"/>
      </w:pPr>
      <w:r>
        <w:t>Oracle Encoors read-only sur 1 session démo.</w:t>
      </w:r>
    </w:p>
    <w:p>
      <w:pPr>
        <w:pStyle w:val="ListBullet"/>
      </w:pPr>
      <w:r>
        <w:t>Feature flags : désactiver v17 P0 prod tant qu’A_VÉRIFIER.</w:t>
      </w:r>
    </w:p>
    <w:p>
      <w:pPr>
        <w:pStyle w:val="ListBullet"/>
      </w:pPr>
      <w:r>
        <w:t>Rollout apprenant d’abord ; formateur/tuteur ensuite ; ORGADMIN exports en dernier.</w:t>
      </w:r>
    </w:p>
    <w:p>
      <w:pPr>
        <w:pStyle w:val="Heading1"/>
      </w:pPr>
      <w:r>
        <w:t>8. Décision d’architecture — conserver / refaire / partir d’où</w:t>
      </w:r>
    </w:p>
    <w:p>
      <w:r>
        <w:t>Recommandation : conserver le socle backend-first actuel (UIState, CTA, mémoire API, progression contract) et le front ProdLearnerWorkspace enrichi clusters 15–16. Ne pas refondre le moteur P0 ni la spec 2.0.</w:t>
      </w:r>
    </w:p>
    <w:p>
      <w:r>
        <w:rPr>
          <w:b/>
        </w:rPr>
        <w:t xml:space="preserve">Conserver : </w:t>
      </w:r>
      <w:r>
        <w:t>ui_state_builder, cta_ui_state, session_memory, orchestrateur existant, routes /app prod.</w:t>
      </w:r>
    </w:p>
    <w:p>
      <w:r>
        <w:rPr>
          <w:b/>
        </w:rPr>
        <w:t xml:space="preserve">Conserver avec polish : </w:t>
      </w:r>
      <w:r>
        <w:t>PostureSelector, LearnerMemoryPanel, profils CSS, bandeau scène.</w:t>
      </w:r>
    </w:p>
    <w:p>
      <w:r>
        <w:rPr>
          <w:b/>
        </w:rPr>
        <w:t xml:space="preserve">Compléter (pas refaire) : </w:t>
      </w:r>
      <w:r>
        <w:t>Tests E2E advisory, verrou posture explicite backend, IFT-042, doc SW-xx.</w:t>
      </w:r>
    </w:p>
    <w:p>
      <w:r>
        <w:rPr>
          <w:b/>
        </w:rPr>
        <w:t xml:space="preserve">Reporter (couronne) : </w:t>
      </w:r>
      <w:r>
        <w:t>Intercalaires, mémoire inter-sessions injection, RAG vectoriel, D9bis produit.</w:t>
      </w:r>
    </w:p>
    <w:p>
      <w:r>
        <w:rPr>
          <w:b/>
        </w:rPr>
        <w:t xml:space="preserve">Refaire uniquement si audit prod diverge : </w:t>
      </w:r>
      <w:r>
        <w:t>Encoors — comparer oracle avant merge prod.</w:t>
      </w:r>
    </w:p>
    <w:p>
      <w:pPr>
        <w:pStyle w:val="Heading1"/>
      </w:pPr>
      <w:r>
        <w:t>9. Documents de référence</w:t>
      </w:r>
    </w:p>
    <w:p>
      <w:pPr>
        <w:pStyle w:val="ListBullet"/>
      </w:pPr>
      <w:r>
        <w:t>docs-workspace/README.md (§7 méthode tests)</w:t>
      </w:r>
    </w:p>
    <w:p>
      <w:pPr>
        <w:pStyle w:val="ListBullet"/>
      </w:pPr>
      <w:r>
        <w:t>docs-workspace/test_final_complétude_améliorations.md (rapport détaillé)</w:t>
      </w:r>
    </w:p>
    <w:p>
      <w:pPr>
        <w:pStyle w:val="ListBullet"/>
      </w:pPr>
      <w:r>
        <w:t>docs-workspace/cluster2_matrice_runtime_vs_cible.md (V5)</w:t>
      </w:r>
    </w:p>
    <w:p>
      <w:pPr>
        <w:pStyle w:val="ListBullet"/>
      </w:pPr>
      <w:r>
        <w:t>docs-workspace/cluster16_protocole_tests_interface_apprenant_v1.md</w:t>
      </w:r>
    </w:p>
    <w:p>
      <w:pPr>
        <w:pStyle w:val="ListBullet"/>
      </w:pPr>
      <w:r>
        <w:t>docs-workspace/plan_tests_global_hugo.md</w:t>
      </w:r>
    </w:p>
    <w:p>
      <w:pPr>
        <w:pStyle w:val="ListBullet"/>
      </w:pPr>
      <w:r>
        <w:t>docs-workspace/rapport_mise_a_jour_doc_post_cluster16_2026-06-18.md</w:t>
      </w:r>
    </w:p>
    <w:p/>
    <w:p>
      <w:r>
        <w:rPr>
          <w:i/>
        </w:rPr>
        <w:t>Document généré automatiquement à partir de la campagne locale du 2026-06-18. Les statuts Encoors/prod restent A_VÉRIFIER jusqu’à oracle authentifié.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