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trice_cto_mémoire_gouvernée_domaine_2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Matrice CTO — mémoire gouvernée (domaine 20)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bj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Cette matrice CTO sert de support </w:t>
      </w:r>
      <w:r>
        <w:rPr>
          <w:rFonts w:eastAsia="source serif 4" w:cs="source serif 4" w:ascii="source serif 4" w:hAnsi="source serif 4"/>
          <w:b/>
          <w:color w:val="000000"/>
        </w:rPr>
        <w:t xml:space="preserve">prêt à coller</w:t>
      </w:r>
      <w:r>
        <w:rPr>
          <w:rFonts w:eastAsia="source serif 4" w:cs="source serif 4" w:ascii="source serif 4" w:hAnsi="source serif 4"/>
          <w:color w:val="000000"/>
        </w:rPr>
        <w:t xml:space="preserve"> pour piloter le domaine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20_memoire_gouvernee</w:t>
      </w:r>
      <w:r>
        <w:rPr>
          <w:rFonts w:eastAsia="source serif 4" w:cs="source serif 4" w:ascii="source serif 4" w:hAnsi="source serif 4"/>
          <w:color w:val="000000"/>
        </w:rPr>
        <w:t xml:space="preserve"> dans le lot courant, avec une lecture strictement séparée entre réel observé, cible, écarts confirmés et points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A_VERIFIER</w:t>
      </w:r>
      <w:r>
        <w:rPr>
          <w:rFonts w:eastAsia="source serif 4" w:cs="source serif 4" w:ascii="source serif 4" w:hAnsi="source serif 4"/>
          <w:color w:val="000000"/>
        </w:rPr>
        <w:t xml:space="preserve">.[file:1][file:22][file:10]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Elle applique la réduction de périmètre désormais retenue : la cible d’implémentation court terme est une </w:t>
      </w:r>
      <w:r>
        <w:rPr>
          <w:rFonts w:eastAsia="source serif 4" w:cs="source serif 4" w:ascii="source serif 4" w:hAnsi="source serif 4"/>
          <w:b/>
          <w:color w:val="000000"/>
        </w:rPr>
        <w:t xml:space="preserve">mémoire gouvernée intra-conversation</w:t>
      </w:r>
      <w:r>
        <w:rPr>
          <w:rFonts w:eastAsia="source serif 4" w:cs="source serif 4" w:ascii="source serif 4" w:hAnsi="source serif 4"/>
          <w:color w:val="000000"/>
        </w:rPr>
        <w:t xml:space="preserve">, tandis que l’inter-sessions reste préparé mais non présenté comme capacité runtime pleinement active du lot.[file:1][file:22]</w:t>
      </w:r>
    </w:p>
    <w:p>
      <w:pPr>
        <w:spacing w:line="360" w:before="315" w:after="105" w:lineRule="auto"/>
        <w:ind w:left="-30"/>
        <w:jc w:val="left"/>
      </w:pPr>
      <w:bookmarkStart w:id="2" w:name="légen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Légende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ALIGNE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: le réel observé permet déjà de s’appuyer sur le socle pour développer.[file:1]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ALIGNE_DOC_PARTIEL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: le socle réel existe, mais la doc / le contrat doivent être clarifiés avant de développer vite et proprement.[file:1][file:10]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PARTIEL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: la capacité existe en partie mais reste incomplète ou non suffisamment stabilisée pour servir seule de base de dev.[file:10][file:1]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A_VERIFIER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: point non encore démontré de manière suffisante dans le runtime ou dans le périmètre audité.[file:1]</w:t>
      </w:r>
    </w:p>
    <w:p>
      <w:pPr>
        <w:spacing w:line="360" w:before="315" w:after="105" w:lineRule="auto"/>
        <w:ind w:left="-30"/>
        <w:jc w:val="left"/>
      </w:pPr>
      <w:bookmarkStart w:id="3" w:name="matri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Matrice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Élément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Réel observé utile 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que le CTO peut en faire maintenant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prioritaire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OBJET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Mémoire intra-conversation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build_session_memory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produit une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SessionMemorySummary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structurée pour le fil courant.[conversation_history:1]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ALIGNE_DOC_PARTIEL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Base réelle exploitable pour coder vite une mémoire de session propre, sans attendre l’inter-sessions.[conversation_history:1][file:22]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Canoniser le contrat JSON minimal du lot.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Injection runtime mémoire de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build_hugo_turn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appelle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build_session_memory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et injecte le bloc dans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ui_state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HugoTurn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Point d’appui backend réel pour stabiliser la lecture mémoire dans le moteur et dans la projection produit.[conversation_history:1]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Ajouter ou renforcer les tests de non-régression autour de l’injection.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 /hugo/sessions/{id}/memory-summary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 réel identifié, route Django confirmée, projection structurée.[conversation_history:1]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Appui réel pour documenter l’expo mémoire gouvernée côté API sans spéculer.[conversation_history:1][file:10]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Documenter le contrat minimal en spec interface.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Contrat JSON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memory-summary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Champs observés 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theme_key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stabilised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open_loops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difficulties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status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last_session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updated_at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ALIGNE_DOC_PARTIEL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Permet de coder et tester une projection gouvernée minimale sans attendre un grand redesign doctrinal.[conversation_history:1][file:22]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Figer le contrat minimal et ajouter un exemple canonique.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 de verbatim brut comme mémoire principale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L’audit indique l’absence de verbatim brut dans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memory-summary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et une projection produit via objets persistants plutôt qu’historique brut.[conversation_history:1]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Garde-fou à transformer immédiatement en règle de dev et en test de non-régression.[conversation_history:1][file:1]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Ajouter un test explicite “no verbatim / no P0”.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OBJET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LearnerThemeMemory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inter-session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Modèle persistant réel confirmé pour mémoire thématique inter-session.[conversation_history:1]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À conserver comme point d’extension structurant, mais pas comme dépendance de dev du lot courant.[conversation_history:1][file:22]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Documenter comme extension préparée, non comme socle actif du lot.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MemoryConsolidator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consolidate_session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Consolidation inter-session post-conversation confirmée, avec garde-fou de non auto-promotion de statut.[conversation_history:1]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ALIGNE_DOC_PARTIEL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Sert de base crédible pour préparer l’avenir sans faire dépendre le lot courant d’un store durable non stabilisé.[conversation_history:1][file:1]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Documenter le mapping statuts mémoire ↔ validation humaine.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Injection 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LearnerThemeMemory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dans le tour courant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 prouvée par l’audit transmis ; ce qui est injecté au runtime courant prouvé est la session memory.[conversation_history:1]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A_VERIFIER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 CTO ne doit pas coder en supposant cette injection déjà disponible de bout en bout.[conversation_history:1][file:1]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code ciblé sur l’usage runtime exact 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LearnerThemeMemory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Consommation front de la mémoire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 front lu consomme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/ui-state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et affiche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persistent_objects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pas d’appel direct à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/memory-summary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observé dans ce périmètre.[conversation_history:1]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ALIGNE_DOC_PARTIEL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Base suffisante pour standardiser l’UX mémoire comme projection produit discrète, pas comme écran mémoire exhaustif.[conversation_history:1][file:1]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Vérifier Chromium + stabiliser le wording UX.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CADRAGE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Réduction de périmètre du 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 mémoire gouvernée à développer maintenant doit être lue comme intra-conversation; l’inter-sessions reste préparé mais hors périmètre immédiat.[file:1][file:22]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Permet de faire un dev rapide sans faux refactoring inter-session prématuré.[file:22][file:1]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Répercuter ce cadrage dans tous les prompts, tickets et specs.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priorités_c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Priorités CTO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p0_à_lancer_tout_de_sui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P0 — à lancer tout de suite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Pourquoi maintenant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P0-1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Rédiger le contrat JSON minimal de mémoire intra-conversation.[file:22][file:1]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C’est le premier contrat recommandé pour permettre un dev propre et rapide sur le lot courant.[file:22]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P0-2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Verrouiller les tests de non-régression sur l’injection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build_session_memory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build_hugo_turn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ui_state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chemin est déjà réel et doit devenir fiable avant toute extension.[conversation_history:1][file:22]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P0-3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Ajouter un test explicite d’absence de verbatim brut dans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memory-summary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Garde-fou doctrinal déjà observé, facile à perdre sans test.[conversation_history:1][file:1]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P0-4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memory-summary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comme projection gouvernée minimale, pas comme mémoire complète du produit.[conversation_history:1][file:10]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Évite la sur-promesse et stabilise le discours CTO/dev.[file:1][file:22]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p1_juste_aprè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P1 — juste après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Pourquoi ensuite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P1-1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Auditer l’usage exact 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LearnerThemeMemory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dans l’orchestration de tour.[conversation_history:1]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C’est le principal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A_VERIFIER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qui conditionne la suite de la convergence mémoire.[conversation_history:1][file:10]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P1-2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Faire un run API + Chromium ciblé mémoire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/ui-state/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/memory-summary/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).[conversation_history:1]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Permet de lever les ambiguïtés produit/runtime restantes.[conversation_history:1][file:1]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P1-3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Clarifier dans les specs la séparation session memory vs theme memory inter-session.[file:10][file:1]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Empêche de rebrouiller les couches juste après avoir clarifié le domaine.[file:1]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règles_de_pilotage_à_rappeler_au_c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Règles de pilotage à rappeler au CTO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Développer le lot mémoire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comme une mémoire de continuité du fil courant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pas comme une mémoire durable apprenant déjà pleinement active.[file:1][file:22]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Garder le backend comme source de vérité; le front ne doit lire qu’une projection propre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ui-state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ou objet dérivé.[file:1][file:22]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 jamais réintroduire verbatim brut, champs P0 ou diagnostics internes dans les surfaces mémoire exposées.[file:1][file:22]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Toute mention d’inter-sessions active dans le tour courant reste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A_VERIFIER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tant qu’un audit runtime/code complémentaire ne la prouve pas.[file:1][conversation_history:1]</w:t>
      </w:r>
    </w:p>
    <w:p>
      <w:pPr>
        <w:spacing w:line="360" w:before="315" w:after="105" w:lineRule="auto"/>
        <w:ind w:left="-30"/>
        <w:jc w:val="left"/>
      </w:pPr>
      <w:bookmarkStart w:id="8" w:name="formule_de_cadrage_à_réutilis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Formule de cadrage à réutiliser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formule de pilotage à réutiliser dans les tickets, prompts Cursor et arbitrages CTO est la suivante : </w:t>
      </w:r>
      <w:r>
        <w:rPr>
          <w:rFonts w:eastAsia="source serif 4" w:cs="source serif 4" w:ascii="source serif 4" w:hAnsi="source serif 4"/>
          <w:b/>
          <w:color w:val="000000"/>
        </w:rPr>
        <w:t xml:space="preserve">la trajectoire retenue pour Hugo converge d’abord vers une mémoire gouvernée intra-conversation, pilotée backend, utile à la continuité du fil courant ; l’inter-sessions est préparé doctrinalement et contractuellement, mais reste hors périmètre d’implémentation immédiat</w:t>
      </w:r>
      <w:r>
        <w:rPr>
          <w:rFonts w:eastAsia="source serif 4" w:cs="source serif 4" w:ascii="source serif 4" w:hAnsi="source serif 4"/>
          <w:color w:val="000000"/>
        </w:rPr>
        <w:t xml:space="preserve">.[file:1][file:22]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2026-06-16T12:25:09.741Z</dcterms:created>
  <dcterms:modified xsi:type="dcterms:W3CDTF">2026-06-16T12:25:09.741Z</dcterms:modified>
</cp:coreProperties>
</file>