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D4363" w14:textId="77777777" w:rsidR="0084594C" w:rsidRDefault="00303E25" w:rsidP="0084594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center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</w:pPr>
      <w:r w:rsidRPr="0084594C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  <w:t xml:space="preserve">Итоговая лабораторная работа </w:t>
      </w:r>
      <w:r w:rsidR="005A25F4" w:rsidRPr="0084594C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ru-RU" w:eastAsia="en-US"/>
        </w:rPr>
        <w:t>№3</w:t>
      </w:r>
      <w:bookmarkStart w:id="0" w:name="_gjdgxs" w:colFirst="0" w:colLast="0"/>
      <w:bookmarkEnd w:id="0"/>
    </w:p>
    <w:p w14:paraId="046EF0C7" w14:textId="77777777" w:rsidR="008E2517" w:rsidRPr="0084594C" w:rsidRDefault="00303E25" w:rsidP="0084594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 w:after="0"/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val="ru-RU" w:eastAsia="en-US"/>
        </w:rPr>
      </w:pPr>
      <w:r w:rsidRPr="0084594C">
        <w:rPr>
          <w:rFonts w:asciiTheme="majorHAnsi" w:eastAsiaTheme="majorEastAsia" w:hAnsiTheme="majorHAnsi" w:cstheme="majorBidi"/>
          <w:bCs/>
          <w:color w:val="4F81BD" w:themeColor="accent1"/>
          <w:sz w:val="26"/>
          <w:szCs w:val="26"/>
          <w:lang w:val="ru-RU" w:eastAsia="en-US"/>
        </w:rPr>
        <w:t>Тема: Язык SQL</w:t>
      </w:r>
    </w:p>
    <w:p w14:paraId="2F17C488" w14:textId="77777777" w:rsidR="0084594C" w:rsidRDefault="00303E25" w:rsidP="0084594C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При выполнении данной лабораторной работы требуется использовать баз</w:t>
      </w:r>
      <w:r w:rsidR="005A25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данных, созданную студентом для предметной области </w:t>
      </w:r>
      <w:r w:rsidR="008459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индивидуального </w:t>
      </w:r>
      <w:r w:rsidR="005A25F4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варианта проекта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A25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этом необходимо обеспечить заполнение таблиц данными, соответствующи</w:t>
      </w:r>
      <w:r w:rsidR="0084594C">
        <w:rPr>
          <w:rFonts w:ascii="Times New Roman" w:eastAsia="Times New Roman" w:hAnsi="Times New Roman" w:cs="Times New Roman"/>
          <w:sz w:val="28"/>
          <w:szCs w:val="28"/>
          <w:lang w:val="ru-RU"/>
        </w:rPr>
        <w:t>ми описанию предметной области, обеспечивая соотношение связанных данных примерно 1:3 (одной родительской записи соответствуют 3 записи в подчиненной таблице).</w:t>
      </w:r>
      <w:r w:rsidR="0084594C" w:rsidRPr="008459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DDB5EC3" w14:textId="77777777" w:rsidR="008E2517" w:rsidRPr="00303E25" w:rsidRDefault="0084594C" w:rsidP="0084594C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Составьте запросы на выборку данных с использованием следующих конструкций языка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CF3203" w14:textId="33BC720D" w:rsidR="008E2517" w:rsidRDefault="00303E25">
      <w:pPr>
        <w:pStyle w:val="Normal1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Составьте </w:t>
      </w:r>
      <w:r w:rsidR="008459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выборку данных с использованием рефлексивного соединения для таблицы </w:t>
      </w:r>
      <w:r w:rsidR="0084594C">
        <w:rPr>
          <w:rFonts w:ascii="Times New Roman" w:eastAsia="Times New Roman" w:hAnsi="Times New Roman" w:cs="Times New Roman"/>
          <w:sz w:val="28"/>
          <w:szCs w:val="28"/>
          <w:lang w:val="ru-RU"/>
        </w:rPr>
        <w:t>(по указанию преподавателя).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F7037C2" w14:textId="410A0EA4" w:rsidR="000C4193" w:rsidRPr="000C4193" w:rsidRDefault="000C4193" w:rsidP="000C4193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Вроде как таблица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join</w:t>
      </w:r>
      <w:r w:rsidRPr="000C419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с самой собой.</w:t>
      </w:r>
    </w:p>
    <w:p w14:paraId="5EBE6864" w14:textId="39E08345" w:rsidR="008E2517" w:rsidRDefault="00303E25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CASE;</w:t>
      </w:r>
    </w:p>
    <w:p w14:paraId="7518B1CC" w14:textId="0C9C6D04" w:rsidR="000C4193" w:rsidRPr="000C4193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case when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ЗНАЧЕНИЕ</w:t>
      </w:r>
    </w:p>
    <w:p w14:paraId="49B7B339" w14:textId="680EE81A" w:rsidR="008E2517" w:rsidRDefault="00303E25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поискового оператора CASE;</w:t>
      </w:r>
    </w:p>
    <w:p w14:paraId="1EEB0962" w14:textId="7C0C3713" w:rsidR="000C4193" w:rsidRPr="000C4193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case WHEN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УСЛОВИЕ</w:t>
      </w:r>
    </w:p>
    <w:p w14:paraId="276364F4" w14:textId="7C8B7890" w:rsidR="008E2517" w:rsidRDefault="00303E25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WITH;</w:t>
      </w:r>
    </w:p>
    <w:p w14:paraId="24C6829B" w14:textId="576AE1B3" w:rsidR="000C4193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hyperlink r:id="rId7" w:history="1">
        <w:r w:rsidRPr="00851C74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</w:rPr>
          <w:t>https://postgrespro.ru/docs/postgrespro/9.5/queries-with</w:t>
        </w:r>
      </w:hyperlink>
    </w:p>
    <w:p w14:paraId="061D336B" w14:textId="77777777" w:rsidR="000C4193" w:rsidRPr="000C4193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2B24B6EA" w14:textId="36AD8659" w:rsidR="008E2517" w:rsidRDefault="00303E25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встроенного представления;</w:t>
      </w:r>
    </w:p>
    <w:p w14:paraId="3A07CBD0" w14:textId="2A0B4F2C" w:rsidR="000C4193" w:rsidRPr="000C4193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C4193">
        <w:rPr>
          <w:rFonts w:ascii="Times New Roman" w:eastAsia="Times New Roman" w:hAnsi="Times New Roman" w:cs="Times New Roman"/>
          <w:i/>
          <w:iCs/>
          <w:sz w:val="28"/>
          <w:szCs w:val="28"/>
        </w:rPr>
        <w:t>CREATE VIEW</w:t>
      </w:r>
    </w:p>
    <w:p w14:paraId="3A89F36B" w14:textId="77777777" w:rsidR="008E2517" w:rsidRPr="00303E25" w:rsidRDefault="00303E25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некоррелированного запроса;</w:t>
      </w:r>
    </w:p>
    <w:p w14:paraId="594C237D" w14:textId="7BA9C9B0" w:rsidR="008E2517" w:rsidRDefault="00303E25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>коррелированного запроса;</w:t>
      </w:r>
    </w:p>
    <w:p w14:paraId="576C1F8E" w14:textId="77777777" w:rsidR="000C4193" w:rsidRPr="000C4193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BY"/>
        </w:rPr>
      </w:pPr>
      <w:r w:rsidRPr="000C4193">
        <w:rPr>
          <w:rFonts w:ascii="Times New Roman" w:eastAsia="Times New Roman" w:hAnsi="Times New Roman" w:cs="Times New Roman"/>
          <w:i/>
          <w:iCs/>
          <w:sz w:val="28"/>
          <w:szCs w:val="28"/>
          <w:lang w:val="en-BY"/>
        </w:rPr>
        <w:t>Подзапросы бывают коррелированными и некоррелированными. Подзапрос является коррелированным, если его значение зависит от значения, производимого внешним оператором select, который содержит этот подзапрос. Любой другой вид запроса называется некоррелированным.</w:t>
      </w:r>
    </w:p>
    <w:p w14:paraId="6A036A44" w14:textId="77777777" w:rsidR="000C4193" w:rsidRPr="000C4193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BY"/>
        </w:rPr>
      </w:pPr>
      <w:r w:rsidRPr="000C4193">
        <w:rPr>
          <w:rFonts w:ascii="Times New Roman" w:eastAsia="Times New Roman" w:hAnsi="Times New Roman" w:cs="Times New Roman"/>
          <w:i/>
          <w:iCs/>
          <w:sz w:val="28"/>
          <w:szCs w:val="28"/>
          <w:lang w:val="en-BY"/>
        </w:rPr>
        <w:t>Важное свойство коррелированного подзароса состоит в следующим: так как он зависит от значения результата внешнего оператора select, то должен выполняться повторно по одному разу для каждого значения, производимого внешним оператором select. Некоррелированный подзапрос выполняется только один раз.</w:t>
      </w:r>
    </w:p>
    <w:p w14:paraId="3BAB5375" w14:textId="77777777" w:rsidR="000C4193" w:rsidRPr="00303E25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FA6786" w14:textId="0EE913E5" w:rsidR="008E2517" w:rsidRDefault="00303E25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94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NULLIF;</w:t>
      </w:r>
    </w:p>
    <w:p w14:paraId="1EACE18E" w14:textId="39E2FBFD" w:rsidR="000C4193" w:rsidRPr="000C4193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hyperlink r:id="rId8" w:history="1">
        <w:r w:rsidRPr="000C4193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</w:rPr>
          <w:t>https://www.postgresqltutorial.com/postgresql-tutorial/postgresql-nullif/</w:t>
        </w:r>
      </w:hyperlink>
    </w:p>
    <w:p w14:paraId="2BD06DF2" w14:textId="77777777" w:rsidR="000C4193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6255DA" w14:textId="53E9EC28" w:rsidR="008E2517" w:rsidRDefault="00303E25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94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NVL2;</w:t>
      </w:r>
    </w:p>
    <w:p w14:paraId="50158CCD" w14:textId="6ECA1B54" w:rsidR="000C4193" w:rsidRPr="000C4193" w:rsidRDefault="000C4193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Не поддерживается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Postgress</w:t>
      </w:r>
      <w:proofErr w:type="spellEnd"/>
    </w:p>
    <w:p w14:paraId="6C843B53" w14:textId="5A874A5E" w:rsidR="008E2517" w:rsidRDefault="00303E25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TOP-N </w:t>
      </w:r>
      <w:r w:rsidRPr="00DC5624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3CE4DF" w14:textId="32C7F642" w:rsidR="000C4193" w:rsidRDefault="00783177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hyperlink r:id="rId9" w:history="1">
        <w:r w:rsidRPr="00851C74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  <w:lang w:val="ru-RU"/>
          </w:rPr>
          <w:t>https://russianblogs.com/article/29701846485/</w:t>
        </w:r>
      </w:hyperlink>
    </w:p>
    <w:p w14:paraId="63C35E07" w14:textId="77777777" w:rsidR="00783177" w:rsidRPr="00783177" w:rsidRDefault="00783177" w:rsidP="000C4193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7E4C2A9" w14:textId="3C3F04E3" w:rsidR="008E2517" w:rsidRDefault="00303E25">
      <w:pPr>
        <w:pStyle w:val="Normal1"/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594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ROLLUP.</w:t>
      </w:r>
    </w:p>
    <w:p w14:paraId="58AB5A2C" w14:textId="0E218E18" w:rsidR="00783177" w:rsidRDefault="00783177" w:rsidP="00783177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hyperlink r:id="rId10" w:history="1">
        <w:r w:rsidRPr="00851C74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</w:rPr>
          <w:t>https://info-comp.ru/obucheniest/444-sql-rollup-cube-grouping-sets.html</w:t>
        </w:r>
      </w:hyperlink>
    </w:p>
    <w:p w14:paraId="355DE065" w14:textId="77777777" w:rsidR="00783177" w:rsidRPr="00783177" w:rsidRDefault="00783177" w:rsidP="00783177">
      <w:pPr>
        <w:pStyle w:val="Normal1"/>
        <w:spacing w:after="0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0E0C8944" w14:textId="466D84D9" w:rsidR="008E2517" w:rsidRDefault="00303E25" w:rsidP="00783177">
      <w:pPr>
        <w:pStyle w:val="Normal1"/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Составьте запрос на использование оператора </w:t>
      </w:r>
      <w:r>
        <w:rPr>
          <w:rFonts w:ascii="Times New Roman" w:eastAsia="Times New Roman" w:hAnsi="Times New Roman" w:cs="Times New Roman"/>
          <w:sz w:val="28"/>
          <w:szCs w:val="28"/>
        </w:rPr>
        <w:t>MERGE</w:t>
      </w:r>
      <w:r w:rsidRPr="00303E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языка манипулирования данными</w:t>
      </w:r>
      <w:r w:rsidRPr="007831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8E5119" w14:textId="394B9966" w:rsidR="00783177" w:rsidRDefault="00783177" w:rsidP="00783177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hyperlink r:id="rId11" w:history="1">
        <w:r w:rsidRPr="00851C74">
          <w:rPr>
            <w:rStyle w:val="Hyperlink"/>
            <w:rFonts w:ascii="Times New Roman" w:eastAsia="Times New Roman" w:hAnsi="Times New Roman" w:cs="Times New Roman"/>
            <w:i/>
            <w:iCs/>
            <w:sz w:val="28"/>
            <w:szCs w:val="28"/>
            <w:lang w:val="ru-RU"/>
          </w:rPr>
          <w:t>https://info-comp.ru/obucheniest/561-merge-in-t-sql.html</w:t>
        </w:r>
      </w:hyperlink>
    </w:p>
    <w:p w14:paraId="58472841" w14:textId="77777777" w:rsidR="00783177" w:rsidRPr="00783177" w:rsidRDefault="00783177" w:rsidP="00783177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11FAAE34" w14:textId="77777777" w:rsidR="00DC5624" w:rsidRPr="00DC5624" w:rsidRDefault="00DC5624" w:rsidP="00DC5624">
      <w:pPr>
        <w:pStyle w:val="Normal1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составлении запросов см. «Примеры 3.5».</w:t>
      </w:r>
    </w:p>
    <w:sectPr w:rsidR="00DC5624" w:rsidRPr="00DC5624" w:rsidSect="008E25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3F17" w14:textId="77777777" w:rsidR="00434A3A" w:rsidRDefault="00434A3A" w:rsidP="000C4193">
      <w:pPr>
        <w:spacing w:after="0" w:line="240" w:lineRule="auto"/>
      </w:pPr>
      <w:r>
        <w:separator/>
      </w:r>
    </w:p>
  </w:endnote>
  <w:endnote w:type="continuationSeparator" w:id="0">
    <w:p w14:paraId="618ACC7A" w14:textId="77777777" w:rsidR="00434A3A" w:rsidRDefault="00434A3A" w:rsidP="000C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C9E4" w14:textId="77777777" w:rsidR="000C4193" w:rsidRDefault="000C41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9ADC" w14:textId="77777777" w:rsidR="000C4193" w:rsidRDefault="000C41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01A" w14:textId="77777777" w:rsidR="000C4193" w:rsidRDefault="000C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43EA" w14:textId="77777777" w:rsidR="00434A3A" w:rsidRDefault="00434A3A" w:rsidP="000C4193">
      <w:pPr>
        <w:spacing w:after="0" w:line="240" w:lineRule="auto"/>
      </w:pPr>
      <w:r>
        <w:separator/>
      </w:r>
    </w:p>
  </w:footnote>
  <w:footnote w:type="continuationSeparator" w:id="0">
    <w:p w14:paraId="5702A7DD" w14:textId="77777777" w:rsidR="00434A3A" w:rsidRDefault="00434A3A" w:rsidP="000C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2E77" w14:textId="77777777" w:rsidR="000C4193" w:rsidRDefault="000C41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893D" w14:textId="77777777" w:rsidR="000C4193" w:rsidRDefault="000C41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AFBD" w14:textId="77777777" w:rsidR="000C4193" w:rsidRDefault="000C4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3D8"/>
    <w:multiLevelType w:val="multilevel"/>
    <w:tmpl w:val="BB4A7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1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517"/>
    <w:rsid w:val="000C4193"/>
    <w:rsid w:val="00281370"/>
    <w:rsid w:val="00303E25"/>
    <w:rsid w:val="00434A3A"/>
    <w:rsid w:val="00544472"/>
    <w:rsid w:val="005A25F4"/>
    <w:rsid w:val="00783177"/>
    <w:rsid w:val="0084594C"/>
    <w:rsid w:val="00875105"/>
    <w:rsid w:val="008E2517"/>
    <w:rsid w:val="00DC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E222ED"/>
  <w15:docId w15:val="{7A53A858-6425-E74B-B498-CC21EC13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70"/>
  </w:style>
  <w:style w:type="paragraph" w:styleId="Heading1">
    <w:name w:val="heading 1"/>
    <w:basedOn w:val="Normal1"/>
    <w:next w:val="Normal1"/>
    <w:uiPriority w:val="9"/>
    <w:qFormat/>
    <w:rsid w:val="008E25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qFormat/>
    <w:rsid w:val="008E25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E25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E25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E25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E25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E2517"/>
  </w:style>
  <w:style w:type="table" w:customStyle="1" w:styleId="TableNormal1">
    <w:name w:val="Table Normal1"/>
    <w:rsid w:val="008E25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E251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E25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25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193"/>
  </w:style>
  <w:style w:type="paragraph" w:styleId="Footer">
    <w:name w:val="footer"/>
    <w:basedOn w:val="Normal"/>
    <w:link w:val="FooterChar"/>
    <w:uiPriority w:val="99"/>
    <w:unhideWhenUsed/>
    <w:rsid w:val="000C4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193"/>
  </w:style>
  <w:style w:type="character" w:styleId="Hyperlink">
    <w:name w:val="Hyperlink"/>
    <w:basedOn w:val="DefaultParagraphFont"/>
    <w:uiPriority w:val="99"/>
    <w:unhideWhenUsed/>
    <w:rsid w:val="000C41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postgresql-tutorial/postgresql-nullif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stgrespro.ru/docs/postgrespro/9.5/queries-with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fo-comp.ru/obucheniest/561-merge-in-t-sql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info-comp.ru/obucheniest/444-sql-rollup-cube-grouping-set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ssianblogs.com/article/29701846485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Microsoft Office User</cp:lastModifiedBy>
  <cp:revision>6</cp:revision>
  <dcterms:created xsi:type="dcterms:W3CDTF">2019-11-12T18:05:00Z</dcterms:created>
  <dcterms:modified xsi:type="dcterms:W3CDTF">2022-11-13T19:44:00Z</dcterms:modified>
</cp:coreProperties>
</file>