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0"/>
        <w:jc w:val="center"/>
      </w:pPr>
      <w:r>
        <w:rPr>
          <w:b/>
          <w:bCs/>
          <w:color w:val="595959"/>
          <w:sz w:val="28"/>
          <w:szCs w:val="28"/>
        </w:rPr>
        <w:t xml:space="preserve">PROJECT DOCUMENTATION</w:t>
      </w:r>
    </w:p>
    <w:p>
      <w:pPr>
        <w:spacing w:after="300"/>
        <w:jc w:val="center"/>
      </w:pPr>
      <w:r>
        <w:rPr>
          <w:b/>
          <w:bCs/>
          <w:color w:val="1F3864"/>
          <w:sz w:val="48"/>
          <w:szCs w:val="48"/>
        </w:rPr>
        <w:t xml:space="preserve">Procurement &amp; Vendor Spend Analytics Pipeline</w:t>
      </w:r>
    </w:p>
    <w:p>
      <w:pPr>
        <w:spacing w:after="1000"/>
        <w:jc w:val="center"/>
      </w:pPr>
      <w:r>
        <w:rPr>
          <w:i/>
          <w:iCs/>
          <w:color w:val="2E5395"/>
          <w:sz w:val="26"/>
          <w:szCs w:val="26"/>
        </w:rPr>
        <w:t xml:space="preserve">An End-to-End Data Engineering Project on the Medallion Architecture</w:t>
      </w:r>
    </w:p>
    <w:p>
      <w:pPr>
        <w:pBdr>
          <w:top w:val="single" w:color="1F3864" w:sz="6"/>
        </w:pBdr>
        <w:spacing w:after="800"/>
        <w:jc w:val="center"/>
      </w:pPr>
    </w:p>
    <w:p>
      <w:pPr>
        <w:spacing w:after="200"/>
        <w:jc w:val="center"/>
      </w:pPr>
      <w:r>
        <w:rPr>
          <w:color w:val="595959"/>
          <w:sz w:val="24"/>
          <w:szCs w:val="24"/>
        </w:rPr>
        <w:t xml:space="preserve">Data Engineering Internship Project</w:t>
      </w:r>
    </w:p>
    <w:p>
      <w:pPr>
        <w:spacing w:after="1600"/>
        <w:jc w:val="center"/>
      </w:pPr>
      <w:r>
        <w:rPr>
          <w:color w:val="595959"/>
          <w:sz w:val="22"/>
          <w:szCs w:val="22"/>
        </w:rPr>
        <w:t xml:space="preserve">Built on Databricks using PySpark, Delta Lake, and Spark SQL</w:t>
      </w:r>
    </w:p>
    <w:p>
      <w:pPr>
        <w:jc w:val="center"/>
      </w:pPr>
      <w:r>
        <w:rPr>
          <w:color w:val="595959"/>
          <w:sz w:val="20"/>
          <w:szCs w:val="20"/>
        </w:rPr>
        <w:t xml:space="preserve">Documentation prepared as part of project submission</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300"/>
      </w:pPr>
      <w:r>
        <w:t xml:space="preserve">Table of Contents</w:t>
      </w:r>
    </w:p>
    <w:p>
      <w:pPr>
        <w:tabs>
          <w:tab w:val="right" w:pos="9216" w:leader="dot"/>
        </w:tabs>
        <w:spacing w:after="160"/>
        <w:ind w:left="0"/>
      </w:pPr>
      <w:r>
        <w:rPr>
          <w:b/>
          <w:bCs/>
          <w:color w:val="1F3864"/>
          <w:sz w:val="23"/>
          <w:szCs w:val="23"/>
        </w:rPr>
        <w:t xml:space="preserve">1.  Abstract</w:t>
      </w:r>
      <w:r>
        <w:rPr>
          <w:sz w:val="23"/>
          <w:szCs w:val="23"/>
        </w:rPr>
        <w:t xml:space="preserve">	3</w:t>
      </w:r>
    </w:p>
    <w:p>
      <w:pPr>
        <w:tabs>
          <w:tab w:val="right" w:pos="9216" w:leader="dot"/>
        </w:tabs>
        <w:spacing w:after="160"/>
        <w:ind w:left="0"/>
      </w:pPr>
      <w:r>
        <w:rPr>
          <w:b/>
          <w:bCs/>
          <w:color w:val="1F3864"/>
          <w:sz w:val="23"/>
          <w:szCs w:val="23"/>
        </w:rPr>
        <w:t xml:space="preserve">2.  Project Overview</w:t>
      </w:r>
      <w:r>
        <w:rPr>
          <w:sz w:val="23"/>
          <w:szCs w:val="23"/>
        </w:rPr>
        <w:t xml:space="preserve">	4</w:t>
      </w:r>
    </w:p>
    <w:p>
      <w:pPr>
        <w:tabs>
          <w:tab w:val="right" w:pos="9216" w:leader="dot"/>
        </w:tabs>
        <w:spacing w:after="160"/>
        <w:ind w:left="0"/>
      </w:pPr>
      <w:r>
        <w:rPr>
          <w:b/>
          <w:bCs/>
          <w:color w:val="1F3864"/>
          <w:sz w:val="23"/>
          <w:szCs w:val="23"/>
        </w:rPr>
        <w:t xml:space="preserve">3.  Business Problem</w:t>
      </w:r>
      <w:r>
        <w:rPr>
          <w:sz w:val="23"/>
          <w:szCs w:val="23"/>
        </w:rPr>
        <w:t xml:space="preserve">	5</w:t>
      </w:r>
    </w:p>
    <w:p>
      <w:pPr>
        <w:tabs>
          <w:tab w:val="right" w:pos="9216" w:leader="dot"/>
        </w:tabs>
        <w:spacing w:after="160"/>
        <w:ind w:left="0"/>
      </w:pPr>
      <w:r>
        <w:rPr>
          <w:b/>
          <w:bCs/>
          <w:color w:val="1F3864"/>
          <w:sz w:val="23"/>
          <w:szCs w:val="23"/>
        </w:rPr>
        <w:t xml:space="preserve">4.  Objectives</w:t>
      </w:r>
      <w:r>
        <w:rPr>
          <w:sz w:val="23"/>
          <w:szCs w:val="23"/>
        </w:rPr>
        <w:t xml:space="preserve">	6</w:t>
      </w:r>
    </w:p>
    <w:p>
      <w:pPr>
        <w:tabs>
          <w:tab w:val="right" w:pos="9216" w:leader="dot"/>
        </w:tabs>
        <w:spacing w:after="160"/>
        <w:ind w:left="0"/>
      </w:pPr>
      <w:r>
        <w:rPr>
          <w:b/>
          <w:bCs/>
          <w:color w:val="1F3864"/>
          <w:sz w:val="23"/>
          <w:szCs w:val="23"/>
        </w:rPr>
        <w:t xml:space="preserve">5.  Technology Stack</w:t>
      </w:r>
      <w:r>
        <w:rPr>
          <w:sz w:val="23"/>
          <w:szCs w:val="23"/>
        </w:rPr>
        <w:t xml:space="preserve">	7</w:t>
      </w:r>
    </w:p>
    <w:p>
      <w:pPr>
        <w:tabs>
          <w:tab w:val="right" w:pos="9216" w:leader="dot"/>
        </w:tabs>
        <w:spacing w:after="160"/>
        <w:ind w:left="0"/>
      </w:pPr>
      <w:r>
        <w:rPr>
          <w:b/>
          <w:bCs/>
          <w:color w:val="1F3864"/>
          <w:sz w:val="23"/>
          <w:szCs w:val="23"/>
        </w:rPr>
        <w:t xml:space="preserve">6.  Project Architecture</w:t>
      </w:r>
      <w:r>
        <w:rPr>
          <w:sz w:val="23"/>
          <w:szCs w:val="23"/>
        </w:rPr>
        <w:t xml:space="preserve">	8</w:t>
      </w:r>
    </w:p>
    <w:p>
      <w:pPr>
        <w:tabs>
          <w:tab w:val="right" w:pos="9216" w:leader="dot"/>
        </w:tabs>
        <w:spacing w:after="160"/>
        <w:ind w:left="0"/>
      </w:pPr>
      <w:r>
        <w:rPr>
          <w:b/>
          <w:bCs/>
          <w:color w:val="1F3864"/>
          <w:sz w:val="23"/>
          <w:szCs w:val="23"/>
        </w:rPr>
        <w:t xml:space="preserve">7.  Dataset Description</w:t>
      </w:r>
      <w:r>
        <w:rPr>
          <w:sz w:val="23"/>
          <w:szCs w:val="23"/>
        </w:rPr>
        <w:t xml:space="preserve">	9</w:t>
      </w:r>
    </w:p>
    <w:p>
      <w:pPr>
        <w:tabs>
          <w:tab w:val="right" w:pos="9216" w:leader="dot"/>
        </w:tabs>
        <w:spacing w:after="160"/>
        <w:ind w:left="0"/>
      </w:pPr>
      <w:r>
        <w:rPr>
          <w:b/>
          <w:bCs/>
          <w:color w:val="1F3864"/>
          <w:sz w:val="23"/>
          <w:szCs w:val="23"/>
        </w:rPr>
        <w:t xml:space="preserve">8.  Data Generation</w:t>
      </w:r>
      <w:r>
        <w:rPr>
          <w:sz w:val="23"/>
          <w:szCs w:val="23"/>
        </w:rPr>
        <w:t xml:space="preserve">	10</w:t>
      </w:r>
    </w:p>
    <w:p>
      <w:pPr>
        <w:tabs>
          <w:tab w:val="right" w:pos="9216" w:leader="dot"/>
        </w:tabs>
        <w:spacing w:after="160"/>
        <w:ind w:left="0"/>
      </w:pPr>
      <w:r>
        <w:rPr>
          <w:b/>
          <w:bCs/>
          <w:color w:val="1F3864"/>
          <w:sz w:val="23"/>
          <w:szCs w:val="23"/>
        </w:rPr>
        <w:t xml:space="preserve">9.  Bronze Layer</w:t>
      </w:r>
      <w:r>
        <w:rPr>
          <w:sz w:val="23"/>
          <w:szCs w:val="23"/>
        </w:rPr>
        <w:t xml:space="preserve">	11</w:t>
      </w:r>
    </w:p>
    <w:p>
      <w:pPr>
        <w:tabs>
          <w:tab w:val="right" w:pos="9216" w:leader="dot"/>
        </w:tabs>
        <w:spacing w:after="160"/>
        <w:ind w:left="0"/>
      </w:pPr>
      <w:r>
        <w:rPr>
          <w:b/>
          <w:bCs/>
          <w:color w:val="1F3864"/>
          <w:sz w:val="23"/>
          <w:szCs w:val="23"/>
        </w:rPr>
        <w:t xml:space="preserve">10.  Silver Layer</w:t>
      </w:r>
      <w:r>
        <w:rPr>
          <w:sz w:val="23"/>
          <w:szCs w:val="23"/>
        </w:rPr>
        <w:t xml:space="preserve">	12</w:t>
      </w:r>
    </w:p>
    <w:p>
      <w:pPr>
        <w:tabs>
          <w:tab w:val="right" w:pos="9216" w:leader="dot"/>
        </w:tabs>
        <w:spacing w:after="160"/>
        <w:ind w:left="0"/>
      </w:pPr>
      <w:r>
        <w:rPr>
          <w:b/>
          <w:bCs/>
          <w:color w:val="1F3864"/>
          <w:sz w:val="23"/>
          <w:szCs w:val="23"/>
        </w:rPr>
        <w:t xml:space="preserve">11.  IQR Outlier Detection</w:t>
      </w:r>
      <w:r>
        <w:rPr>
          <w:sz w:val="23"/>
          <w:szCs w:val="23"/>
        </w:rPr>
        <w:t xml:space="preserve">	13</w:t>
      </w:r>
    </w:p>
    <w:p>
      <w:pPr>
        <w:tabs>
          <w:tab w:val="right" w:pos="9216" w:leader="dot"/>
        </w:tabs>
        <w:spacing w:after="160"/>
        <w:ind w:left="0"/>
      </w:pPr>
      <w:r>
        <w:rPr>
          <w:b/>
          <w:bCs/>
          <w:color w:val="1F3864"/>
          <w:sz w:val="23"/>
          <w:szCs w:val="23"/>
        </w:rPr>
        <w:t xml:space="preserve">12.  SCD Type 2</w:t>
      </w:r>
      <w:r>
        <w:rPr>
          <w:sz w:val="23"/>
          <w:szCs w:val="23"/>
        </w:rPr>
        <w:t xml:space="preserve">	14</w:t>
      </w:r>
    </w:p>
    <w:p>
      <w:pPr>
        <w:tabs>
          <w:tab w:val="right" w:pos="9216" w:leader="dot"/>
        </w:tabs>
        <w:spacing w:after="160"/>
        <w:ind w:left="0"/>
      </w:pPr>
      <w:r>
        <w:rPr>
          <w:b/>
          <w:bCs/>
          <w:color w:val="1F3864"/>
          <w:sz w:val="23"/>
          <w:szCs w:val="23"/>
        </w:rPr>
        <w:t xml:space="preserve">13.  Gold Layer</w:t>
      </w:r>
      <w:r>
        <w:rPr>
          <w:sz w:val="23"/>
          <w:szCs w:val="23"/>
        </w:rPr>
        <w:t xml:space="preserve">	15</w:t>
      </w:r>
    </w:p>
    <w:p>
      <w:pPr>
        <w:tabs>
          <w:tab w:val="right" w:pos="9216" w:leader="dot"/>
        </w:tabs>
        <w:spacing w:after="160"/>
        <w:ind w:left="0"/>
      </w:pPr>
      <w:r>
        <w:rPr>
          <w:b/>
          <w:bCs/>
          <w:color w:val="1F3864"/>
          <w:sz w:val="23"/>
          <w:szCs w:val="23"/>
        </w:rPr>
        <w:t xml:space="preserve">14.  SQL Analytics</w:t>
      </w:r>
      <w:r>
        <w:rPr>
          <w:sz w:val="23"/>
          <w:szCs w:val="23"/>
        </w:rPr>
        <w:t xml:space="preserve">	16</w:t>
      </w:r>
    </w:p>
    <w:p>
      <w:pPr>
        <w:tabs>
          <w:tab w:val="right" w:pos="9216" w:leader="dot"/>
        </w:tabs>
        <w:spacing w:after="160"/>
        <w:ind w:left="0"/>
      </w:pPr>
      <w:r>
        <w:rPr>
          <w:b/>
          <w:bCs/>
          <w:color w:val="1F3864"/>
          <w:sz w:val="23"/>
          <w:szCs w:val="23"/>
        </w:rPr>
        <w:t xml:space="preserve">15.  Data Validation</w:t>
      </w:r>
      <w:r>
        <w:rPr>
          <w:sz w:val="23"/>
          <w:szCs w:val="23"/>
        </w:rPr>
        <w:t xml:space="preserve">	17</w:t>
      </w:r>
    </w:p>
    <w:p>
      <w:pPr>
        <w:tabs>
          <w:tab w:val="right" w:pos="9216" w:leader="dot"/>
        </w:tabs>
        <w:spacing w:after="160"/>
        <w:ind w:left="0"/>
      </w:pPr>
      <w:r>
        <w:rPr>
          <w:b/>
          <w:bCs/>
          <w:color w:val="1F3864"/>
          <w:sz w:val="23"/>
          <w:szCs w:val="23"/>
        </w:rPr>
        <w:t xml:space="preserve">16.  Challenges &amp; Solutions</w:t>
      </w:r>
      <w:r>
        <w:rPr>
          <w:sz w:val="23"/>
          <w:szCs w:val="23"/>
        </w:rPr>
        <w:t xml:space="preserve">	18</w:t>
      </w:r>
    </w:p>
    <w:p>
      <w:pPr>
        <w:tabs>
          <w:tab w:val="right" w:pos="9216" w:leader="dot"/>
        </w:tabs>
        <w:spacing w:after="160"/>
        <w:ind w:left="0"/>
      </w:pPr>
      <w:r>
        <w:rPr>
          <w:b/>
          <w:bCs/>
          <w:color w:val="1F3864"/>
          <w:sz w:val="23"/>
          <w:szCs w:val="23"/>
        </w:rPr>
        <w:t xml:space="preserve">17.  Learning Outcomes</w:t>
      </w:r>
      <w:r>
        <w:rPr>
          <w:sz w:val="23"/>
          <w:szCs w:val="23"/>
        </w:rPr>
        <w:t xml:space="preserve">	19</w:t>
      </w:r>
    </w:p>
    <w:p>
      <w:pPr>
        <w:tabs>
          <w:tab w:val="right" w:pos="9216" w:leader="dot"/>
        </w:tabs>
        <w:spacing w:after="160"/>
        <w:ind w:left="0"/>
      </w:pPr>
      <w:r>
        <w:rPr>
          <w:b/>
          <w:bCs/>
          <w:color w:val="1F3864"/>
          <w:sz w:val="23"/>
          <w:szCs w:val="23"/>
        </w:rPr>
        <w:t xml:space="preserve">18.  Conclusion</w:t>
      </w:r>
      <w:r>
        <w:rPr>
          <w:sz w:val="23"/>
          <w:szCs w:val="23"/>
        </w:rPr>
        <w:t xml:space="preserve">	20</w:t>
      </w:r>
    </w:p>
    <w:p>
      <w:r>
        <w:br w:type="page"/>
      </w:r>
    </w:p>
    <w:p>
      <w:pPr>
        <w:pStyle w:val="Heading1"/>
        <w:pageBreakBefore/>
        <w:spacing w:after="200" w:before="360"/>
      </w:pPr>
      <w:r>
        <w:t xml:space="preserve">Abstract</w:t>
      </w:r>
    </w:p>
    <w:p>
      <w:pPr>
        <w:spacing w:after="160" w:line="288"/>
        <w:jc w:val="both"/>
      </w:pPr>
      <w:r>
        <w:rPr>
          <w:sz w:val="22"/>
          <w:szCs w:val="22"/>
        </w:rPr>
        <w:t xml:space="preserve">The Procurement &amp; Vendor Spend Analytics Pipeline is an end-to-end data engineering project designed to demonstrate how raw procurement data can be transformed into reliable, business-ready analytics. The project follows the Medallion Architecture pattern, organizing data processing into three progressive layers: Bronze, Silver, and Gold.</w:t>
      </w:r>
    </w:p>
    <w:p>
      <w:pPr>
        <w:spacing w:after="160" w:line="288"/>
        <w:jc w:val="both"/>
      </w:pPr>
      <w:r>
        <w:rPr>
          <w:sz w:val="22"/>
          <w:szCs w:val="22"/>
        </w:rPr>
        <w:t xml:space="preserve">Synthetic procurement data, including purchase orders, invoices, and vendor contracts, was generated using Python and deliberately seeded with realistic data quality issues such as missing values, duplicates, and outliers. This data was then ingested and processed on Databricks using PySpark, Delta Lake, and Spark SQL. The pipeline applies statistical cleaning techniques, IQR-based outlier detection, and Slowly Changing Dimension (SCD) Type 2 tracking to maintain accurate historical records of vendor information.</w:t>
      </w:r>
    </w:p>
    <w:p>
      <w:pPr>
        <w:spacing w:after="160" w:line="288"/>
        <w:jc w:val="both"/>
      </w:pPr>
      <w:r>
        <w:rPr>
          <w:sz w:val="22"/>
          <w:szCs w:val="22"/>
        </w:rPr>
        <w:t xml:space="preserve">The final output of the project is a set of curated Gold layer Delta tables, supported by SQL-based business analytics and a comprehensive data validation report. This documentation explains the objectives, architecture, technical approach, and outcomes of the project in a clear and structured manner.</w:t>
      </w:r>
    </w:p>
    <w:p>
      <w:pPr>
        <w:pStyle w:val="Heading1"/>
        <w:pageBreakBefore/>
        <w:spacing w:after="200" w:before="360"/>
      </w:pPr>
      <w:r>
        <w:t xml:space="preserve">Project Overview</w:t>
      </w:r>
    </w:p>
    <w:p>
      <w:pPr>
        <w:spacing w:after="160" w:line="288"/>
        <w:jc w:val="both"/>
      </w:pPr>
      <w:r>
        <w:rPr>
          <w:sz w:val="22"/>
          <w:szCs w:val="22"/>
        </w:rPr>
        <w:t xml:space="preserve">This project implements a complete procurement and vendor spend analytics solution using modern data engineering practices. The pipeline begins with data generation and proceeds through structured layers of transformation before arriving at business-ready datasets.</w:t>
      </w:r>
    </w:p>
    <w:p>
      <w:pPr>
        <w:spacing w:after="160" w:line="288"/>
        <w:jc w:val="both"/>
      </w:pPr>
      <w:r>
        <w:rPr>
          <w:sz w:val="22"/>
          <w:szCs w:val="22"/>
        </w:rPr>
        <w:t xml:space="preserve">The overall workflow of the project can be summarized as follows: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shd w:fill="DCE6F1" w:val="clear"/>
            <w:tcMar>
              <w:top w:type="dxa" w:w="100"/>
              <w:left w:type="dxa" w:w="120"/>
              <w:bottom w:type="dxa" w:w="100"/>
              <w:right w:type="dxa" w:w="120"/>
            </w:tcMar>
            <w:vAlign w:val="center"/>
          </w:tcPr>
          <w:p>
            <w:r>
              <w:rPr>
                <w:b/>
                <w:bCs/>
                <w:color w:val="1F3864"/>
                <w:sz w:val="20"/>
                <w:szCs w:val="20"/>
              </w:rPr>
              <w:t xml:space="preserve">Stage</w:t>
            </w:r>
          </w:p>
        </w:tc>
        <w:tc>
          <w:tcPr>
            <w:tcW w:type="dxa" w:w="6850"/>
            <w:shd w:fill="DCE6F1" w:val="clear"/>
            <w:tcMar>
              <w:top w:type="dxa" w:w="100"/>
              <w:left w:type="dxa" w:w="120"/>
              <w:bottom w:type="dxa" w:w="100"/>
              <w:right w:type="dxa" w:w="120"/>
            </w:tcMar>
            <w:vAlign w:val="center"/>
          </w:tcPr>
          <w:p>
            <w:r>
              <w:rPr>
                <w:b/>
                <w:bCs/>
                <w:color w:val="1F3864"/>
                <w:sz w:val="20"/>
                <w:szCs w:val="20"/>
              </w:rPr>
              <w:t xml:space="preserve">Description</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Data Generation</w:t>
            </w:r>
          </w:p>
        </w:tc>
        <w:tc>
          <w:tcPr>
            <w:tcW w:type="dxa" w:w="6850"/>
            <w:tcMar>
              <w:top w:type="dxa" w:w="100"/>
              <w:left w:type="dxa" w:w="120"/>
              <w:bottom w:type="dxa" w:w="100"/>
              <w:right w:type="dxa" w:w="120"/>
            </w:tcMar>
            <w:vAlign w:val="center"/>
          </w:tcPr>
          <w:p>
            <w:r>
              <w:rPr>
                <w:b w:val="false"/>
                <w:bCs w:val="false"/>
                <w:color w:val="000000"/>
                <w:sz w:val="20"/>
                <w:szCs w:val="20"/>
              </w:rPr>
              <w:t xml:space="preserve">Synthetic procurement data created using Python, including intentional data quality issues.</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Bronze Layer</w:t>
            </w:r>
          </w:p>
        </w:tc>
        <w:tc>
          <w:tcPr>
            <w:tcW w:type="dxa" w:w="6850"/>
            <w:tcMar>
              <w:top w:type="dxa" w:w="100"/>
              <w:left w:type="dxa" w:w="120"/>
              <w:bottom w:type="dxa" w:w="100"/>
              <w:right w:type="dxa" w:w="120"/>
            </w:tcMar>
            <w:vAlign w:val="center"/>
          </w:tcPr>
          <w:p>
            <w:r>
              <w:rPr>
                <w:b w:val="false"/>
                <w:bCs w:val="false"/>
                <w:color w:val="000000"/>
                <w:sz w:val="20"/>
                <w:szCs w:val="20"/>
              </w:rPr>
              <w:t xml:space="preserve">Raw data ingested and stored in Delta format with minimal transformation.</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Silver Layer</w:t>
            </w:r>
          </w:p>
        </w:tc>
        <w:tc>
          <w:tcPr>
            <w:tcW w:type="dxa" w:w="6850"/>
            <w:tcMar>
              <w:top w:type="dxa" w:w="100"/>
              <w:left w:type="dxa" w:w="120"/>
              <w:bottom w:type="dxa" w:w="100"/>
              <w:right w:type="dxa" w:w="120"/>
            </w:tcMar>
            <w:vAlign w:val="center"/>
          </w:tcPr>
          <w:p>
            <w:r>
              <w:rPr>
                <w:b w:val="false"/>
                <w:bCs w:val="false"/>
                <w:color w:val="000000"/>
                <w:sz w:val="20"/>
                <w:szCs w:val="20"/>
              </w:rPr>
              <w:t xml:space="preserve">Data cleaned, standardized, validated, and enriched using PySpark.</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Gold Layer</w:t>
            </w:r>
          </w:p>
        </w:tc>
        <w:tc>
          <w:tcPr>
            <w:tcW w:type="dxa" w:w="6850"/>
            <w:tcMar>
              <w:top w:type="dxa" w:w="100"/>
              <w:left w:type="dxa" w:w="120"/>
              <w:bottom w:type="dxa" w:w="100"/>
              <w:right w:type="dxa" w:w="120"/>
            </w:tcMar>
            <w:vAlign w:val="center"/>
          </w:tcPr>
          <w:p>
            <w:r>
              <w:rPr>
                <w:b w:val="false"/>
                <w:bCs w:val="false"/>
                <w:color w:val="000000"/>
                <w:sz w:val="20"/>
                <w:szCs w:val="20"/>
              </w:rPr>
              <w:t xml:space="preserve">Business-level aggregated and curated tables ready for reporting.</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SQL Analytics</w:t>
            </w:r>
          </w:p>
        </w:tc>
        <w:tc>
          <w:tcPr>
            <w:tcW w:type="dxa" w:w="6850"/>
            <w:tcMar>
              <w:top w:type="dxa" w:w="100"/>
              <w:left w:type="dxa" w:w="120"/>
              <w:bottom w:type="dxa" w:w="100"/>
              <w:right w:type="dxa" w:w="120"/>
            </w:tcMar>
            <w:vAlign w:val="center"/>
          </w:tcPr>
          <w:p>
            <w:r>
              <w:rPr>
                <w:b w:val="false"/>
                <w:bCs w:val="false"/>
                <w:color w:val="000000"/>
                <w:sz w:val="20"/>
                <w:szCs w:val="20"/>
              </w:rPr>
              <w:t xml:space="preserve">Business insights derived using Spark SQL queries on Gold tables.</w:t>
            </w:r>
          </w:p>
        </w:tc>
      </w:tr>
      <w:tr>
        <w:tc>
          <w:tcPr>
            <w:tcW w:type="dxa" w:w="2500"/>
            <w:tcMar>
              <w:top w:type="dxa" w:w="100"/>
              <w:left w:type="dxa" w:w="120"/>
              <w:bottom w:type="dxa" w:w="100"/>
              <w:right w:type="dxa" w:w="120"/>
            </w:tcMar>
            <w:vAlign w:val="center"/>
          </w:tcPr>
          <w:p>
            <w:r>
              <w:rPr>
                <w:b w:val="false"/>
                <w:bCs w:val="false"/>
                <w:color w:val="000000"/>
                <w:sz w:val="20"/>
                <w:szCs w:val="20"/>
              </w:rPr>
              <w:t xml:space="preserve">Data Validation</w:t>
            </w:r>
          </w:p>
        </w:tc>
        <w:tc>
          <w:tcPr>
            <w:tcW w:type="dxa" w:w="6850"/>
            <w:tcMar>
              <w:top w:type="dxa" w:w="100"/>
              <w:left w:type="dxa" w:w="120"/>
              <w:bottom w:type="dxa" w:w="100"/>
              <w:right w:type="dxa" w:w="120"/>
            </w:tcMar>
            <w:vAlign w:val="center"/>
          </w:tcPr>
          <w:p>
            <w:r>
              <w:rPr>
                <w:b w:val="false"/>
                <w:bCs w:val="false"/>
                <w:color w:val="000000"/>
                <w:sz w:val="20"/>
                <w:szCs w:val="20"/>
              </w:rPr>
              <w:t xml:space="preserve">Automated checks performed to confirm data quality and pipeline reliability.</w:t>
            </w:r>
          </w:p>
        </w:tc>
      </w:tr>
    </w:tbl>
    <w:p>
      <w:pPr>
        <w:spacing w:after="160" w:line="288"/>
        <w:jc w:val="both"/>
      </w:pPr>
      <w:r>
        <w:rPr>
          <w:sz w:val="22"/>
          <w:szCs w:val="22"/>
        </w:rPr>
        <w:t xml:space="preserve">By the end of the pipeline, procurement data that started as raw, inconsistent records is transformed into trustworthy, structured information that supports vendor spend analysis and business decision-making.</w:t>
      </w:r>
    </w:p>
    <w:p>
      <w:pPr>
        <w:pStyle w:val="Heading1"/>
        <w:pageBreakBefore/>
        <w:spacing w:after="200" w:before="360"/>
      </w:pPr>
      <w:r>
        <w:t xml:space="preserve">Business Problem</w:t>
      </w:r>
    </w:p>
    <w:p>
      <w:pPr>
        <w:spacing w:after="160" w:line="288"/>
        <w:jc w:val="both"/>
      </w:pPr>
      <w:r>
        <w:rPr>
          <w:sz w:val="22"/>
          <w:szCs w:val="22"/>
        </w:rPr>
        <w:t xml:space="preserve">Organizations that work with multiple vendors generate large volumes of procurement data through purchase orders, invoices, and contracts. This data is often scattered, inconsistent, and difficult to analyze in its raw form. Common challenges include missing values, duplicate records, inconsistent formatting, and a lack of historical tracking when vendor details change over time.</w:t>
      </w:r>
    </w:p>
    <w:p>
      <w:pPr>
        <w:spacing w:after="160" w:line="288"/>
        <w:jc w:val="both"/>
      </w:pPr>
      <w:r>
        <w:rPr>
          <w:sz w:val="22"/>
          <w:szCs w:val="22"/>
        </w:rPr>
        <w:t xml:space="preserve">Without a structured pipeline, businesses struggle to answer basic but important questions, such as:</w:t>
      </w:r>
    </w:p>
    <w:p>
      <w:pPr>
        <w:pStyle w:val="ListParagraph"/>
        <w:numPr>
          <w:ilvl w:val="0"/>
          <w:numId w:val="2"/>
        </w:numPr>
        <w:spacing w:after="80" w:line="276"/>
      </w:pPr>
      <w:r>
        <w:t xml:space="preserve">Which vendors receive the highest spend, and how has this changed over time?</w:t>
      </w:r>
    </w:p>
    <w:p>
      <w:pPr>
        <w:pStyle w:val="ListParagraph"/>
        <w:numPr>
          <w:ilvl w:val="0"/>
          <w:numId w:val="2"/>
        </w:numPr>
        <w:spacing w:after="80" w:line="276"/>
      </w:pPr>
      <w:r>
        <w:t xml:space="preserve">Are there data quality issues that could lead to incorrect financial reporting?</w:t>
      </w:r>
    </w:p>
    <w:p>
      <w:pPr>
        <w:pStyle w:val="ListParagraph"/>
        <w:numPr>
          <w:ilvl w:val="0"/>
          <w:numId w:val="2"/>
        </w:numPr>
        <w:spacing w:after="80" w:line="276"/>
      </w:pPr>
      <w:r>
        <w:t xml:space="preserve">How can historical changes in vendor details be tracked accurately?</w:t>
      </w:r>
    </w:p>
    <w:p>
      <w:pPr>
        <w:pStyle w:val="ListParagraph"/>
        <w:numPr>
          <w:ilvl w:val="0"/>
          <w:numId w:val="2"/>
        </w:numPr>
        <w:spacing w:after="80" w:line="276"/>
      </w:pPr>
      <w:r>
        <w:t xml:space="preserve">How can procurement data be made reliable enough for business analytics?</w:t>
      </w:r>
    </w:p>
    <w:p>
      <w:pPr>
        <w:spacing w:after="160" w:line="288"/>
        <w:jc w:val="both"/>
      </w:pPr>
      <w:r>
        <w:rPr>
          <w:sz w:val="22"/>
          <w:szCs w:val="22"/>
        </w:rPr>
        <w:t xml:space="preserve">This project addresses these challenges by building a reliable, automated pipeline that ingests raw procurement data, cleans and validates it, tracks historical changes, and produces analytics-ready datasets.</w:t>
      </w:r>
    </w:p>
    <w:p>
      <w:pPr>
        <w:pStyle w:val="Heading1"/>
        <w:pageBreakBefore/>
        <w:spacing w:after="200" w:before="360"/>
      </w:pPr>
      <w:r>
        <w:t xml:space="preserve">Objectives</w:t>
      </w:r>
    </w:p>
    <w:p>
      <w:pPr>
        <w:spacing w:after="160" w:line="288"/>
        <w:jc w:val="both"/>
      </w:pPr>
      <w:r>
        <w:rPr>
          <w:sz w:val="22"/>
          <w:szCs w:val="22"/>
        </w:rPr>
        <w:t xml:space="preserve">The key objectives of this project are:</w:t>
      </w:r>
    </w:p>
    <w:p>
      <w:pPr>
        <w:pStyle w:val="ListParagraph"/>
        <w:numPr>
          <w:ilvl w:val="0"/>
          <w:numId w:val="2"/>
        </w:numPr>
        <w:spacing w:after="80" w:line="276"/>
      </w:pPr>
      <w:r>
        <w:t xml:space="preserve">Design and implement an end-to-end data pipeline using the Medallion Architecture.</w:t>
      </w:r>
    </w:p>
    <w:p>
      <w:pPr>
        <w:pStyle w:val="ListParagraph"/>
        <w:numPr>
          <w:ilvl w:val="0"/>
          <w:numId w:val="2"/>
        </w:numPr>
        <w:spacing w:after="80" w:line="276"/>
      </w:pPr>
      <w:r>
        <w:t xml:space="preserve">Generate realistic synthetic procurement data with intentional data quality issues.</w:t>
      </w:r>
    </w:p>
    <w:p>
      <w:pPr>
        <w:pStyle w:val="ListParagraph"/>
        <w:numPr>
          <w:ilvl w:val="0"/>
          <w:numId w:val="2"/>
        </w:numPr>
        <w:spacing w:after="80" w:line="276"/>
      </w:pPr>
      <w:r>
        <w:t xml:space="preserve">Apply statistical data cleaning techniques to handle missing values.</w:t>
      </w:r>
    </w:p>
    <w:p>
      <w:pPr>
        <w:pStyle w:val="ListParagraph"/>
        <w:numPr>
          <w:ilvl w:val="0"/>
          <w:numId w:val="2"/>
        </w:numPr>
        <w:spacing w:after="80" w:line="276"/>
      </w:pPr>
      <w:r>
        <w:t xml:space="preserve">Detect and treat outliers using the IQR (Interquartile Range) method.</w:t>
      </w:r>
    </w:p>
    <w:p>
      <w:pPr>
        <w:pStyle w:val="ListParagraph"/>
        <w:numPr>
          <w:ilvl w:val="0"/>
          <w:numId w:val="2"/>
        </w:numPr>
        <w:spacing w:after="80" w:line="276"/>
      </w:pPr>
      <w:r>
        <w:t xml:space="preserve">Implement SCD Type 2 to maintain historical tracking of vendor records.</w:t>
      </w:r>
    </w:p>
    <w:p>
      <w:pPr>
        <w:pStyle w:val="ListParagraph"/>
        <w:numPr>
          <w:ilvl w:val="0"/>
          <w:numId w:val="2"/>
        </w:numPr>
        <w:spacing w:after="80" w:line="276"/>
      </w:pPr>
      <w:r>
        <w:t xml:space="preserve">Build business-ready Gold layer tables for procurement and vendor spend analysis.</w:t>
      </w:r>
    </w:p>
    <w:p>
      <w:pPr>
        <w:pStyle w:val="ListParagraph"/>
        <w:numPr>
          <w:ilvl w:val="0"/>
          <w:numId w:val="2"/>
        </w:numPr>
        <w:spacing w:after="80" w:line="276"/>
      </w:pPr>
      <w:r>
        <w:t xml:space="preserve">Perform SQL-based analytics to generate business insights.</w:t>
      </w:r>
    </w:p>
    <w:p>
      <w:pPr>
        <w:pStyle w:val="ListParagraph"/>
        <w:numPr>
          <w:ilvl w:val="0"/>
          <w:numId w:val="2"/>
        </w:numPr>
        <w:spacing w:after="80" w:line="276"/>
      </w:pPr>
      <w:r>
        <w:t xml:space="preserve">Validate data quality and pipeline reliability through a structured validation report.</w:t>
      </w:r>
    </w:p>
    <w:p>
      <w:pPr>
        <w:pStyle w:val="Heading1"/>
        <w:pageBreakBefore/>
        <w:spacing w:after="200" w:before="360"/>
      </w:pPr>
      <w:r>
        <w:t xml:space="preserve">Technology Stack</w:t>
      </w:r>
    </w:p>
    <w:p>
      <w:pPr>
        <w:spacing w:after="160" w:line="288"/>
        <w:jc w:val="both"/>
      </w:pPr>
      <w:r>
        <w:rPr>
          <w:sz w:val="22"/>
          <w:szCs w:val="22"/>
        </w:rPr>
        <w:t xml:space="preserve">The project uses a modern data engineering technology stack, commonly used in the industry for building scalable data pipelines.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CE6F1" w:val="clear"/>
            <w:tcMar>
              <w:top w:type="dxa" w:w="100"/>
              <w:left w:type="dxa" w:w="120"/>
              <w:bottom w:type="dxa" w:w="100"/>
              <w:right w:type="dxa" w:w="120"/>
            </w:tcMar>
            <w:vAlign w:val="center"/>
          </w:tcPr>
          <w:p>
            <w:r>
              <w:rPr>
                <w:b/>
                <w:bCs/>
                <w:color w:val="1F3864"/>
                <w:sz w:val="20"/>
                <w:szCs w:val="20"/>
              </w:rPr>
              <w:t xml:space="preserve">Technology</w:t>
            </w:r>
          </w:p>
        </w:tc>
        <w:tc>
          <w:tcPr>
            <w:tcW w:type="dxa" w:w="6150"/>
            <w:shd w:fill="DCE6F1" w:val="clear"/>
            <w:tcMar>
              <w:top w:type="dxa" w:w="100"/>
              <w:left w:type="dxa" w:w="120"/>
              <w:bottom w:type="dxa" w:w="100"/>
              <w:right w:type="dxa" w:w="120"/>
            </w:tcMar>
            <w:vAlign w:val="center"/>
          </w:tcPr>
          <w:p>
            <w:r>
              <w:rPr>
                <w:b/>
                <w:bCs/>
                <w:color w:val="1F3864"/>
                <w:sz w:val="20"/>
                <w:szCs w:val="20"/>
              </w:rPr>
              <w:t xml:space="preserve">Purpose in the Project</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Python</w:t>
            </w:r>
          </w:p>
        </w:tc>
        <w:tc>
          <w:tcPr>
            <w:tcW w:type="dxa" w:w="6150"/>
            <w:tcMar>
              <w:top w:type="dxa" w:w="100"/>
              <w:left w:type="dxa" w:w="120"/>
              <w:bottom w:type="dxa" w:w="100"/>
              <w:right w:type="dxa" w:w="120"/>
            </w:tcMar>
            <w:vAlign w:val="center"/>
          </w:tcPr>
          <w:p>
            <w:r>
              <w:rPr>
                <w:b w:val="false"/>
                <w:bCs w:val="false"/>
                <w:color w:val="000000"/>
                <w:sz w:val="20"/>
                <w:szCs w:val="20"/>
              </w:rPr>
              <w:t xml:space="preserve">Used for generating synthetic procurement datasets.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PySpark</w:t>
            </w:r>
          </w:p>
        </w:tc>
        <w:tc>
          <w:tcPr>
            <w:tcW w:type="dxa" w:w="6150"/>
            <w:tcMar>
              <w:top w:type="dxa" w:w="100"/>
              <w:left w:type="dxa" w:w="120"/>
              <w:bottom w:type="dxa" w:w="100"/>
              <w:right w:type="dxa" w:w="120"/>
            </w:tcMar>
            <w:vAlign w:val="center"/>
          </w:tcPr>
          <w:p>
            <w:r>
              <w:rPr>
                <w:b w:val="false"/>
                <w:bCs w:val="false"/>
                <w:color w:val="000000"/>
                <w:sz w:val="20"/>
                <w:szCs w:val="20"/>
              </w:rPr>
              <w:t xml:space="preserve">Used for distributed data processing across Bronze, Silver, and Gold layers.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Spark SQL</w:t>
            </w:r>
          </w:p>
        </w:tc>
        <w:tc>
          <w:tcPr>
            <w:tcW w:type="dxa" w:w="6150"/>
            <w:tcMar>
              <w:top w:type="dxa" w:w="100"/>
              <w:left w:type="dxa" w:w="120"/>
              <w:bottom w:type="dxa" w:w="100"/>
              <w:right w:type="dxa" w:w="120"/>
            </w:tcMar>
            <w:vAlign w:val="center"/>
          </w:tcPr>
          <w:p>
            <w:r>
              <w:rPr>
                <w:b w:val="false"/>
                <w:bCs w:val="false"/>
                <w:color w:val="000000"/>
                <w:sz w:val="20"/>
                <w:szCs w:val="20"/>
              </w:rPr>
              <w:t xml:space="preserve">Used to write business analytics queries on top of Gold tables.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Delta Lake</w:t>
            </w:r>
          </w:p>
        </w:tc>
        <w:tc>
          <w:tcPr>
            <w:tcW w:type="dxa" w:w="6150"/>
            <w:tcMar>
              <w:top w:type="dxa" w:w="100"/>
              <w:left w:type="dxa" w:w="120"/>
              <w:bottom w:type="dxa" w:w="100"/>
              <w:right w:type="dxa" w:w="120"/>
            </w:tcMar>
            <w:vAlign w:val="center"/>
          </w:tcPr>
          <w:p>
            <w:r>
              <w:rPr>
                <w:b w:val="false"/>
                <w:bCs w:val="false"/>
                <w:color w:val="000000"/>
                <w:sz w:val="20"/>
                <w:szCs w:val="20"/>
              </w:rPr>
              <w:t xml:space="preserve">Provides ACID transactions, versioning, and reliable storage format for all layers.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Databricks</w:t>
            </w:r>
          </w:p>
        </w:tc>
        <w:tc>
          <w:tcPr>
            <w:tcW w:type="dxa" w:w="6150"/>
            <w:tcMar>
              <w:top w:type="dxa" w:w="100"/>
              <w:left w:type="dxa" w:w="120"/>
              <w:bottom w:type="dxa" w:w="100"/>
              <w:right w:type="dxa" w:w="120"/>
            </w:tcMar>
            <w:vAlign w:val="center"/>
          </w:tcPr>
          <w:p>
            <w:r>
              <w:rPr>
                <w:b w:val="false"/>
                <w:bCs w:val="false"/>
                <w:color w:val="000000"/>
                <w:sz w:val="20"/>
                <w:szCs w:val="20"/>
              </w:rPr>
              <w:t xml:space="preserve">Cloud platform used to build, run, and manage the entire pipeline.</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Unity Catalog</w:t>
            </w:r>
          </w:p>
        </w:tc>
        <w:tc>
          <w:tcPr>
            <w:tcW w:type="dxa" w:w="6150"/>
            <w:tcMar>
              <w:top w:type="dxa" w:w="100"/>
              <w:left w:type="dxa" w:w="120"/>
              <w:bottom w:type="dxa" w:w="100"/>
              <w:right w:type="dxa" w:w="120"/>
            </w:tcMar>
            <w:vAlign w:val="center"/>
          </w:tcPr>
          <w:p>
            <w:r>
              <w:rPr>
                <w:b w:val="false"/>
                <w:bCs w:val="false"/>
                <w:color w:val="000000"/>
                <w:sz w:val="20"/>
                <w:szCs w:val="20"/>
              </w:rPr>
              <w:t xml:space="preserve">Used for centralized data governance and table management.</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Azure Data Lake Storage Gen2</w:t>
            </w:r>
          </w:p>
        </w:tc>
        <w:tc>
          <w:tcPr>
            <w:tcW w:type="dxa" w:w="6150"/>
            <w:tcMar>
              <w:top w:type="dxa" w:w="100"/>
              <w:left w:type="dxa" w:w="120"/>
              <w:bottom w:type="dxa" w:w="100"/>
              <w:right w:type="dxa" w:w="120"/>
            </w:tcMar>
            <w:vAlign w:val="center"/>
          </w:tcPr>
          <w:p>
            <w:r>
              <w:rPr>
                <w:b w:val="false"/>
                <w:bCs w:val="false"/>
                <w:color w:val="000000"/>
                <w:sz w:val="20"/>
                <w:szCs w:val="20"/>
              </w:rPr>
              <w:t xml:space="preserve">Underlying cloud storage for all data layers.</w:t>
            </w:r>
          </w:p>
        </w:tc>
      </w:tr>
      <w:tr>
        <w:tc>
          <w:tcPr>
            <w:tcW w:type="dxa" w:w="3200"/>
            <w:tcMar>
              <w:top w:type="dxa" w:w="100"/>
              <w:left w:type="dxa" w:w="120"/>
              <w:bottom w:type="dxa" w:w="100"/>
              <w:right w:type="dxa" w:w="120"/>
            </w:tcMar>
            <w:vAlign w:val="center"/>
          </w:tcPr>
          <w:p>
            <w:r>
              <w:rPr>
                <w:b w:val="false"/>
                <w:bCs w:val="false"/>
                <w:color w:val="000000"/>
                <w:sz w:val="20"/>
                <w:szCs w:val="20"/>
              </w:rPr>
              <w:t xml:space="preserve">Git &amp; GitHub</w:t>
            </w:r>
          </w:p>
        </w:tc>
        <w:tc>
          <w:tcPr>
            <w:tcW w:type="dxa" w:w="6150"/>
            <w:tcMar>
              <w:top w:type="dxa" w:w="100"/>
              <w:left w:type="dxa" w:w="120"/>
              <w:bottom w:type="dxa" w:w="100"/>
              <w:right w:type="dxa" w:w="120"/>
            </w:tcMar>
            <w:vAlign w:val="center"/>
          </w:tcPr>
          <w:p>
            <w:r>
              <w:rPr>
                <w:b w:val="false"/>
                <w:bCs w:val="false"/>
                <w:color w:val="000000"/>
                <w:sz w:val="20"/>
                <w:szCs w:val="20"/>
              </w:rPr>
              <w:t xml:space="preserve">Used for version control and maintaining the project codebase.</w:t>
            </w:r>
          </w:p>
        </w:tc>
      </w:tr>
    </w:tbl>
    <w:p>
      <w:pPr>
        <w:pStyle w:val="Heading1"/>
        <w:pageBreakBefore/>
        <w:spacing w:after="200" w:before="360"/>
      </w:pPr>
      <w:r>
        <w:t xml:space="preserve">Project Architecture</w:t>
      </w:r>
    </w:p>
    <w:p>
      <w:pPr>
        <w:spacing w:after="160" w:line="288"/>
        <w:jc w:val="both"/>
      </w:pPr>
      <w:r>
        <w:rPr>
          <w:sz w:val="22"/>
          <w:szCs w:val="22"/>
        </w:rPr>
        <w:t xml:space="preserve">The project follows the Medallion Architecture, a widely adopted data engineering pattern that organizes data into three progressively refined layers. This approach improves data quality at each stage while keeping the pipeline modular and easy to maintain.</w:t>
      </w:r>
    </w:p>
    <w:p>
      <w:pPr>
        <w:pStyle w:val="Heading2"/>
        <w:spacing w:after="140" w:before="280"/>
      </w:pPr>
      <w:r>
        <w:t xml:space="preserve">Architecture Flow</w:t>
      </w:r>
    </w:p>
    <w:p>
      <w:pPr>
        <w:spacing w:after="160" w:line="288"/>
        <w:jc w:val="both"/>
      </w:pPr>
      <w:r>
        <w:rPr>
          <w:sz w:val="22"/>
          <w:szCs w:val="22"/>
        </w:rPr>
        <w:t xml:space="preserve">Python Data Generation → Bronze Layer → Silver Layer → Gold Layer → SQL Analytics</w:t>
      </w:r>
    </w:p>
    <w:p>
      <w:pPr>
        <w:pStyle w:val="Heading2"/>
        <w:spacing w:after="140" w:before="280"/>
      </w:pPr>
      <w:r>
        <w:t xml:space="preserve">Layer Responsibilities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tcMar>
              <w:top w:type="dxa" w:w="100"/>
              <w:left w:type="dxa" w:w="120"/>
              <w:bottom w:type="dxa" w:w="100"/>
              <w:right w:type="dxa" w:w="120"/>
            </w:tcMar>
            <w:vAlign w:val="center"/>
          </w:tcPr>
          <w:p>
            <w:r>
              <w:rPr>
                <w:b/>
                <w:bCs/>
                <w:color w:val="1F3864"/>
                <w:sz w:val="20"/>
                <w:szCs w:val="20"/>
              </w:rPr>
              <w:t xml:space="preserve">Layer</w:t>
            </w:r>
          </w:p>
        </w:tc>
        <w:tc>
          <w:tcPr>
            <w:tcW w:type="dxa" w:w="7150"/>
            <w:shd w:fill="DCE6F1" w:val="clear"/>
            <w:tcMar>
              <w:top w:type="dxa" w:w="100"/>
              <w:left w:type="dxa" w:w="120"/>
              <w:bottom w:type="dxa" w:w="100"/>
              <w:right w:type="dxa" w:w="120"/>
            </w:tcMar>
            <w:vAlign w:val="center"/>
          </w:tcPr>
          <w:p>
            <w:r>
              <w:rPr>
                <w:b/>
                <w:bCs/>
                <w:color w:val="1F3864"/>
                <w:sz w:val="20"/>
                <w:szCs w:val="20"/>
              </w:rPr>
              <w:t xml:space="preserve">Responsibility</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Bronze</w:t>
            </w:r>
          </w:p>
        </w:tc>
        <w:tc>
          <w:tcPr>
            <w:tcW w:type="dxa" w:w="7150"/>
            <w:tcMar>
              <w:top w:type="dxa" w:w="100"/>
              <w:left w:type="dxa" w:w="120"/>
              <w:bottom w:type="dxa" w:w="100"/>
              <w:right w:type="dxa" w:w="120"/>
            </w:tcMar>
            <w:vAlign w:val="center"/>
          </w:tcPr>
          <w:p>
            <w:r>
              <w:rPr>
                <w:b w:val="false"/>
                <w:bCs w:val="false"/>
                <w:color w:val="000000"/>
                <w:sz w:val="20"/>
                <w:szCs w:val="20"/>
              </w:rPr>
              <w:t xml:space="preserve">Stores raw, unprocessed data exactly as received, preserving the original source.</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Silver</w:t>
            </w:r>
          </w:p>
        </w:tc>
        <w:tc>
          <w:tcPr>
            <w:tcW w:type="dxa" w:w="7150"/>
            <w:tcMar>
              <w:top w:type="dxa" w:w="100"/>
              <w:left w:type="dxa" w:w="120"/>
              <w:bottom w:type="dxa" w:w="100"/>
              <w:right w:type="dxa" w:w="120"/>
            </w:tcMar>
            <w:vAlign w:val="center"/>
          </w:tcPr>
          <w:p>
            <w:r>
              <w:rPr>
                <w:b w:val="false"/>
                <w:bCs w:val="false"/>
                <w:color w:val="000000"/>
                <w:sz w:val="20"/>
                <w:szCs w:val="20"/>
              </w:rPr>
              <w:t xml:space="preserve">Applies cleaning, standardization, validation, and business rules.</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Gold</w:t>
            </w:r>
          </w:p>
        </w:tc>
        <w:tc>
          <w:tcPr>
            <w:tcW w:type="dxa" w:w="7150"/>
            <w:tcMar>
              <w:top w:type="dxa" w:w="100"/>
              <w:left w:type="dxa" w:w="120"/>
              <w:bottom w:type="dxa" w:w="100"/>
              <w:right w:type="dxa" w:w="120"/>
            </w:tcMar>
            <w:vAlign w:val="center"/>
          </w:tcPr>
          <w:p>
            <w:r>
              <w:rPr>
                <w:b w:val="false"/>
                <w:bCs w:val="false"/>
                <w:color w:val="000000"/>
                <w:sz w:val="20"/>
                <w:szCs w:val="20"/>
              </w:rPr>
              <w:t xml:space="preserve">Provides aggregated, business-friendly tables optimized for reporting and analytics.</w:t>
            </w:r>
          </w:p>
        </w:tc>
      </w:tr>
    </w:tbl>
    <w:p>
      <w:pPr>
        <w:spacing w:after="160" w:line="288"/>
        <w:jc w:val="both"/>
      </w:pPr>
      <w:r>
        <w:rPr>
          <w:sz w:val="22"/>
          <w:szCs w:val="22"/>
        </w:rPr>
        <w:t xml:space="preserve">This layered approach ensures that raw data is never lost, transformations are traceable, and each layer serves a clear purpose in the overall pipeline.</w:t>
      </w:r>
    </w:p>
    <w:p>
      <w:pPr>
        <w:pStyle w:val="Heading1"/>
        <w:pageBreakBefore/>
        <w:spacing w:after="200" w:before="360"/>
      </w:pPr>
      <w:r>
        <w:t xml:space="preserve">Dataset Description</w:t>
      </w:r>
    </w:p>
    <w:p>
      <w:pPr>
        <w:spacing w:after="160" w:line="288"/>
        <w:jc w:val="both"/>
      </w:pPr>
      <w:r>
        <w:rPr>
          <w:sz w:val="22"/>
          <w:szCs w:val="22"/>
        </w:rPr>
        <w:t xml:space="preserve">The pipeline processes three core procurement-related datasets. Each dataset represents a key aspect of the procurement process and is used together to build a complete view of vendor spend.</w:t>
      </w:r>
    </w:p>
    <w:p>
      <w:pPr>
        <w:pStyle w:val="Heading2"/>
        <w:spacing w:after="140" w:before="280"/>
      </w:pPr>
      <w:r>
        <w:t xml:space="preserve">Purchase Orders</w:t>
      </w:r>
    </w:p>
    <w:p>
      <w:pPr>
        <w:spacing w:after="160" w:line="288"/>
        <w:jc w:val="both"/>
      </w:pPr>
      <w:r>
        <w:rPr>
          <w:sz w:val="22"/>
          <w:szCs w:val="22"/>
        </w:rPr>
        <w:t xml:space="preserve">Contains records of orders placed with vendors, including order details, quantities, and requested items. This dataset forms the starting point of the procurement cycle.</w:t>
      </w:r>
    </w:p>
    <w:p>
      <w:pPr>
        <w:pStyle w:val="Heading2"/>
        <w:spacing w:after="140" w:before="280"/>
      </w:pPr>
      <w:r>
        <w:t xml:space="preserve">Invoices</w:t>
      </w:r>
    </w:p>
    <w:p>
      <w:pPr>
        <w:spacing w:after="160" w:line="288"/>
        <w:jc w:val="both"/>
      </w:pPr>
      <w:r>
        <w:rPr>
          <w:sz w:val="22"/>
          <w:szCs w:val="22"/>
        </w:rPr>
        <w:t xml:space="preserve">Contains billing records submitted by vendors corresponding to purchase orders. Invoice data is used to calculate actual vendor spend and to validate that billed amounts align with ordered items.</w:t>
      </w:r>
    </w:p>
    <w:p>
      <w:pPr>
        <w:pStyle w:val="Heading2"/>
        <w:spacing w:after="140" w:before="280"/>
      </w:pPr>
      <w:r>
        <w:t xml:space="preserve">Vendor Contracts</w:t>
      </w:r>
    </w:p>
    <w:p>
      <w:pPr>
        <w:spacing w:after="160" w:line="288"/>
        <w:jc w:val="both"/>
      </w:pPr>
      <w:r>
        <w:rPr>
          <w:sz w:val="22"/>
          <w:szCs w:val="22"/>
        </w:rPr>
        <w:t xml:space="preserve">Contains vendor master information, including contract terms and vendor details. Since vendor information can change over time, this dataset is used to demonstrate historical tracking using SCD Type 2.</w:t>
      </w:r>
    </w:p>
    <w:p>
      <w:pPr>
        <w:spacing w:after="160" w:line="288"/>
        <w:jc w:val="both"/>
      </w:pPr>
      <w:r>
        <w:rPr>
          <w:sz w:val="22"/>
          <w:szCs w:val="22"/>
        </w:rPr>
        <w:t xml:space="preserve">Together, these three datasets allow the pipeline to analyze procurement activity end-to-end, from order placement to invoicing and vendor relationship management.</w:t>
      </w:r>
    </w:p>
    <w:p>
      <w:pPr>
        <w:pStyle w:val="Heading1"/>
        <w:pageBreakBefore/>
        <w:spacing w:after="200" w:before="360"/>
      </w:pPr>
      <w:r>
        <w:t xml:space="preserve">Data Generation</w:t>
      </w:r>
    </w:p>
    <w:p>
      <w:pPr>
        <w:spacing w:after="160" w:line="288"/>
        <w:jc w:val="both"/>
      </w:pPr>
      <w:r>
        <w:rPr>
          <w:sz w:val="22"/>
          <w:szCs w:val="22"/>
        </w:rPr>
        <w:t xml:space="preserve">Since real procurement data was not available for this project, synthetic datasets were generated using Python. This approach allowed full control over data volume, structure, and the types of data quality issues present, making it possible to demonstrate real-world data cleaning and validation techniques.</w:t>
      </w:r>
    </w:p>
    <w:p>
      <w:pPr>
        <w:pStyle w:val="Heading2"/>
        <w:spacing w:after="140" w:before="280"/>
      </w:pPr>
      <w:r>
        <w:t xml:space="preserve">Approach</w:t>
      </w:r>
    </w:p>
    <w:p>
      <w:pPr>
        <w:spacing w:after="160" w:line="288"/>
        <w:jc w:val="both"/>
      </w:pPr>
      <w:r>
        <w:rPr>
          <w:sz w:val="22"/>
          <w:szCs w:val="22"/>
        </w:rPr>
        <w:t xml:space="preserve">Python scripts were used to generate realistic purchase order, invoice, and vendor contract records with business-relevant fields such as vendor names, amounts, dates, and quantities.</w:t>
      </w:r>
    </w:p>
    <w:p>
      <w:pPr>
        <w:pStyle w:val="Heading2"/>
        <w:spacing w:after="140" w:before="280"/>
      </w:pPr>
      <w:r>
        <w:t xml:space="preserve">Intentional Data Quality Issues</w:t>
      </w:r>
    </w:p>
    <w:p>
      <w:pPr>
        <w:spacing w:after="160" w:line="288"/>
        <w:jc w:val="both"/>
      </w:pPr>
      <w:r>
        <w:rPr>
          <w:sz w:val="22"/>
          <w:szCs w:val="22"/>
        </w:rPr>
        <w:t xml:space="preserve">To simulate real-world conditions, the generated data intentionally included common data quality problems that any procurement dataset might contain:</w:t>
      </w:r>
    </w:p>
    <w:p>
      <w:pPr>
        <w:pStyle w:val="ListParagraph"/>
        <w:numPr>
          <w:ilvl w:val="0"/>
          <w:numId w:val="2"/>
        </w:numPr>
        <w:spacing w:after="80" w:line="276"/>
      </w:pPr>
      <w:r>
        <w:t xml:space="preserve">Missing values in key fields such as amounts and dates.</w:t>
      </w:r>
    </w:p>
    <w:p>
      <w:pPr>
        <w:pStyle w:val="ListParagraph"/>
        <w:numPr>
          <w:ilvl w:val="0"/>
          <w:numId w:val="2"/>
        </w:numPr>
        <w:spacing w:after="80" w:line="276"/>
      </w:pPr>
      <w:r>
        <w:t xml:space="preserve">Duplicate records representing the same transaction.</w:t>
      </w:r>
    </w:p>
    <w:p>
      <w:pPr>
        <w:pStyle w:val="ListParagraph"/>
        <w:numPr>
          <w:ilvl w:val="0"/>
          <w:numId w:val="2"/>
        </w:numPr>
        <w:spacing w:after="80" w:line="276"/>
      </w:pPr>
      <w:r>
        <w:t xml:space="preserve">Inconsistent formatting, such as varied date formats or text casing.</w:t>
      </w:r>
    </w:p>
    <w:p>
      <w:pPr>
        <w:pStyle w:val="ListParagraph"/>
        <w:numPr>
          <w:ilvl w:val="0"/>
          <w:numId w:val="2"/>
        </w:numPr>
        <w:spacing w:after="80" w:line="276"/>
      </w:pPr>
      <w:r>
        <w:t xml:space="preserve">Statistical outliers in order and invoice amounts.</w:t>
      </w:r>
    </w:p>
    <w:p>
      <w:pPr>
        <w:spacing w:after="160" w:line="288"/>
        <w:jc w:val="both"/>
      </w:pPr>
      <w:r>
        <w:rPr>
          <w:sz w:val="22"/>
          <w:szCs w:val="22"/>
        </w:rPr>
        <w:t xml:space="preserve">Introducing these issues deliberately made it possible to build and demonstrate meaningful data cleaning, outlier treatment, and validation logic later in the pipeline, rather than working with data that was already clean.</w:t>
      </w:r>
    </w:p>
    <w:p>
      <w:pPr>
        <w:pStyle w:val="Heading1"/>
        <w:pageBreakBefore/>
        <w:spacing w:after="200" w:before="360"/>
      </w:pPr>
      <w:r>
        <w:t xml:space="preserve">Bronze Layer</w:t>
      </w:r>
    </w:p>
    <w:p>
      <w:pPr>
        <w:pStyle w:val="Heading2"/>
        <w:spacing w:after="140" w:before="280"/>
      </w:pPr>
      <w:r>
        <w:t xml:space="preserve">Objective</w:t>
      </w:r>
    </w:p>
    <w:p>
      <w:pPr>
        <w:spacing w:after="160" w:line="288"/>
        <w:jc w:val="both"/>
      </w:pPr>
      <w:r>
        <w:rPr>
          <w:sz w:val="22"/>
          <w:szCs w:val="22"/>
        </w:rPr>
        <w:t xml:space="preserve">The Bronze layer serves as the landing zone for raw data. Its purpose is to capture data exactly as it was generated, without applying any cleaning or transformation, so that the original source is always preserved for traceability.</w:t>
      </w:r>
    </w:p>
    <w:p>
      <w:pPr>
        <w:pStyle w:val="Heading2"/>
        <w:spacing w:after="140" w:before="280"/>
      </w:pPr>
      <w:r>
        <w:t xml:space="preserve">Implementation</w:t>
      </w:r>
    </w:p>
    <w:p>
      <w:pPr>
        <w:spacing w:after="160" w:line="288"/>
        <w:jc w:val="both"/>
      </w:pPr>
      <w:r>
        <w:rPr>
          <w:sz w:val="22"/>
          <w:szCs w:val="22"/>
        </w:rPr>
        <w:t xml:space="preserve">The raw purchase order, invoice, and vendor contract data was ingested into Delta tables using PySpark. Basic metadata, such as ingestion timestamps, was added to support traceability, while the original data values were left unchanged.</w:t>
      </w:r>
    </w:p>
    <w:p>
      <w:pPr>
        <w:pStyle w:val="Heading2"/>
        <w:spacing w:after="140" w:before="280"/>
      </w:pPr>
      <w:r>
        <w:t xml:space="preserve">Learning</w:t>
      </w:r>
    </w:p>
    <w:p>
      <w:pPr>
        <w:spacing w:after="160" w:line="288"/>
        <w:jc w:val="both"/>
      </w:pPr>
      <w:r>
        <w:rPr>
          <w:sz w:val="22"/>
          <w:szCs w:val="22"/>
        </w:rPr>
        <w:t xml:space="preserve">Working on the Bronze layer reinforced the importance of preserving raw data. Even when data contains errors, retaining an unaltered copy ensures that any issues discovered later can be traced back to their original source, and that transformation logic can be corrected without needing to regenerate data.</w:t>
      </w:r>
    </w:p>
    <w:p>
      <w:pPr>
        <w:pStyle w:val="Heading1"/>
        <w:pageBreakBefore/>
        <w:spacing w:after="200" w:before="360"/>
      </w:pPr>
      <w:r>
        <w:t xml:space="preserve">Silver Layer</w:t>
      </w:r>
    </w:p>
    <w:p>
      <w:pPr>
        <w:spacing w:after="160" w:line="288"/>
        <w:jc w:val="both"/>
      </w:pPr>
      <w:r>
        <w:rPr>
          <w:sz w:val="22"/>
          <w:szCs w:val="22"/>
        </w:rPr>
        <w:t xml:space="preserve">The Silver layer is where the raw Bronze data is cleaned, standardized, and validated, transforming it into a reliable dataset suitable for further processing.</w:t>
      </w:r>
    </w:p>
    <w:p>
      <w:pPr>
        <w:pStyle w:val="Heading2"/>
        <w:spacing w:after="140" w:before="280"/>
      </w:pPr>
      <w:r>
        <w:t xml:space="preserve">Data Profiling</w:t>
      </w:r>
    </w:p>
    <w:p>
      <w:pPr>
        <w:spacing w:after="160" w:line="288"/>
        <w:jc w:val="both"/>
      </w:pPr>
      <w:r>
        <w:rPr>
          <w:sz w:val="22"/>
          <w:szCs w:val="22"/>
        </w:rPr>
        <w:t xml:space="preserve">Before applying any cleaning logic, the data was profiled to understand its structure and identify quality issues, including the extent of missing values, duplicate records, and unusual values in key numeric fields.</w:t>
      </w:r>
    </w:p>
    <w:p>
      <w:pPr>
        <w:pStyle w:val="Heading2"/>
        <w:spacing w:after="140" w:before="280"/>
      </w:pPr>
      <w:r>
        <w:t xml:space="preserve">Missing Value Analysis</w:t>
      </w:r>
    </w:p>
    <w:p>
      <w:pPr>
        <w:spacing w:after="160" w:line="288"/>
        <w:jc w:val="both"/>
      </w:pPr>
      <w:r>
        <w:rPr>
          <w:sz w:val="22"/>
          <w:szCs w:val="22"/>
        </w:rPr>
        <w:t xml:space="preserve">Missing values were handled using statistical measures appropriate to each field. This ensured that gaps in the data were filled in a way that reflected the overall distribution of the dataset, rather than being left blank or replaced with arbitrary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1" w:val="clear"/>
            <w:tcMar>
              <w:top w:type="dxa" w:w="100"/>
              <w:left w:type="dxa" w:w="120"/>
              <w:bottom w:type="dxa" w:w="100"/>
              <w:right w:type="dxa" w:w="120"/>
            </w:tcMar>
            <w:vAlign w:val="center"/>
          </w:tcPr>
          <w:p>
            <w:r>
              <w:rPr>
                <w:b/>
                <w:bCs/>
                <w:color w:val="1F3864"/>
                <w:sz w:val="20"/>
                <w:szCs w:val="20"/>
              </w:rPr>
              <w:t xml:space="preserve">Statistical Measure</w:t>
            </w:r>
          </w:p>
        </w:tc>
        <w:tc>
          <w:tcPr>
            <w:tcW w:type="dxa" w:w="6750"/>
            <w:shd w:fill="DCE6F1" w:val="clear"/>
            <w:tcMar>
              <w:top w:type="dxa" w:w="100"/>
              <w:left w:type="dxa" w:w="120"/>
              <w:bottom w:type="dxa" w:w="100"/>
              <w:right w:type="dxa" w:w="120"/>
            </w:tcMar>
            <w:vAlign w:val="center"/>
          </w:tcPr>
          <w:p>
            <w:r>
              <w:rPr>
                <w:b/>
                <w:bCs/>
                <w:color w:val="1F3864"/>
                <w:sz w:val="20"/>
                <w:szCs w:val="20"/>
              </w:rPr>
              <w:t xml:space="preserve">Use Case in the Project</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Mean</w:t>
            </w:r>
          </w:p>
        </w:tc>
        <w:tc>
          <w:tcPr>
            <w:tcW w:type="dxa" w:w="6750"/>
            <w:tcMar>
              <w:top w:type="dxa" w:w="100"/>
              <w:left w:type="dxa" w:w="120"/>
              <w:bottom w:type="dxa" w:w="100"/>
              <w:right w:type="dxa" w:w="120"/>
            </w:tcMar>
            <w:vAlign w:val="center"/>
          </w:tcPr>
          <w:p>
            <w:r>
              <w:rPr>
                <w:b w:val="false"/>
                <w:bCs w:val="false"/>
                <w:color w:val="000000"/>
                <w:sz w:val="20"/>
                <w:szCs w:val="20"/>
              </w:rPr>
              <w:t xml:space="preserve">Used to fill missing values in numeric fields with a roughly symmetric distribution.</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Median</w:t>
            </w:r>
          </w:p>
        </w:tc>
        <w:tc>
          <w:tcPr>
            <w:tcW w:type="dxa" w:w="6750"/>
            <w:tcMar>
              <w:top w:type="dxa" w:w="100"/>
              <w:left w:type="dxa" w:w="120"/>
              <w:bottom w:type="dxa" w:w="100"/>
              <w:right w:type="dxa" w:w="120"/>
            </w:tcMar>
            <w:vAlign w:val="center"/>
          </w:tcPr>
          <w:p>
            <w:r>
              <w:rPr>
                <w:b w:val="false"/>
                <w:bCs w:val="false"/>
                <w:color w:val="000000"/>
                <w:sz w:val="20"/>
                <w:szCs w:val="20"/>
              </w:rPr>
              <w:t xml:space="preserve">Used for numeric fields where extreme values could distort the average.</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Mode</w:t>
            </w:r>
          </w:p>
        </w:tc>
        <w:tc>
          <w:tcPr>
            <w:tcW w:type="dxa" w:w="6750"/>
            <w:tcMar>
              <w:top w:type="dxa" w:w="100"/>
              <w:left w:type="dxa" w:w="120"/>
              <w:bottom w:type="dxa" w:w="100"/>
              <w:right w:type="dxa" w:w="120"/>
            </w:tcMar>
            <w:vAlign w:val="center"/>
          </w:tcPr>
          <w:p>
            <w:r>
              <w:rPr>
                <w:b w:val="false"/>
                <w:bCs w:val="false"/>
                <w:color w:val="000000"/>
                <w:sz w:val="20"/>
                <w:szCs w:val="20"/>
              </w:rPr>
              <w:t xml:space="preserve">Used for categorical fields to fill missing values with the most frequent category.</w:t>
            </w:r>
          </w:p>
        </w:tc>
      </w:tr>
    </w:tbl>
    <w:p>
      <w:pPr>
        <w:pStyle w:val="Heading2"/>
        <w:spacing w:after="140" w:before="280"/>
      </w:pPr>
      <w:r>
        <w:t xml:space="preserve">Duplicate Removal</w:t>
      </w:r>
    </w:p>
    <w:p>
      <w:pPr>
        <w:spacing w:after="160" w:line="288"/>
        <w:jc w:val="both"/>
      </w:pPr>
      <w:r>
        <w:rPr>
          <w:sz w:val="22"/>
          <w:szCs w:val="22"/>
        </w:rPr>
        <w:t xml:space="preserve">Duplicate records, which had been intentionally introduced during data generation, were identified based on key business fields and removed to ensure that each transaction was represented only once in the dataset.</w:t>
      </w:r>
    </w:p>
    <w:p>
      <w:pPr>
        <w:pStyle w:val="Heading2"/>
        <w:spacing w:after="140" w:before="280"/>
      </w:pPr>
      <w:r>
        <w:t xml:space="preserve">Data Standardization</w:t>
      </w:r>
    </w:p>
    <w:p>
      <w:pPr>
        <w:spacing w:after="160" w:line="288"/>
        <w:jc w:val="both"/>
      </w:pPr>
      <w:r>
        <w:rPr>
          <w:sz w:val="22"/>
          <w:szCs w:val="22"/>
        </w:rPr>
        <w:t xml:space="preserve">Inconsistent formatting, such as varying date formats and inconsistent text casing, was standardized across all datasets. This step ensured that fields could be reliably compared, grouped, and joined in later stages of the pipeline.</w:t>
      </w:r>
    </w:p>
    <w:p>
      <w:pPr>
        <w:pStyle w:val="Heading2"/>
        <w:spacing w:after="140" w:before="280"/>
      </w:pPr>
      <w:r>
        <w:t xml:space="preserve">Business Validation</w:t>
      </w:r>
    </w:p>
    <w:p>
      <w:pPr>
        <w:spacing w:after="160" w:line="288"/>
        <w:jc w:val="both"/>
      </w:pPr>
      <w:r>
        <w:rPr>
          <w:sz w:val="22"/>
          <w:szCs w:val="22"/>
        </w:rPr>
        <w:t xml:space="preserve">Business rules were applied to check that the data made logical sense, for example, ensuring that invoice amounts were not negative and that referenced vendors and purchase orders actually existed. Records that failed these checks were flagged for review.</w:t>
      </w:r>
    </w:p>
    <w:p>
      <w:pPr>
        <w:pStyle w:val="Heading1"/>
        <w:pageBreakBefore/>
        <w:spacing w:after="200" w:before="360"/>
      </w:pPr>
      <w:r>
        <w:t xml:space="preserve">IQR Outlier Detection</w:t>
      </w:r>
    </w:p>
    <w:p>
      <w:pPr>
        <w:spacing w:after="160" w:line="288"/>
        <w:jc w:val="both"/>
      </w:pPr>
      <w:r>
        <w:rPr>
          <w:sz w:val="22"/>
          <w:szCs w:val="22"/>
        </w:rPr>
        <w:t xml:space="preserve">As an enhancement to improve data quality, the pipeline includes statistical outlier detection and treatment using the Interquartile Range (IQR) method. This technique identifies values that are unusually high or low compared to the rest of the dataset.</w:t>
      </w:r>
    </w:p>
    <w:p>
      <w:pPr>
        <w:pStyle w:val="Heading2"/>
        <w:spacing w:after="140" w:before="280"/>
      </w:pPr>
      <w:r>
        <w:t xml:space="preserve">Concept</w:t>
      </w:r>
    </w:p>
    <w:p>
      <w:pPr>
        <w:spacing w:after="160" w:line="288"/>
        <w:jc w:val="both"/>
      </w:pPr>
      <w:r>
        <w:rPr>
          <w:sz w:val="22"/>
          <w:szCs w:val="22"/>
        </w:rPr>
        <w:t xml:space="preserve">The IQR method is based on dividing sorted numeric data into quartiles and measuring the spread of the middle portion of the data.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DCE6F1" w:val="clear"/>
            <w:tcMar>
              <w:top w:type="dxa" w:w="100"/>
              <w:left w:type="dxa" w:w="120"/>
              <w:bottom w:type="dxa" w:w="100"/>
              <w:right w:type="dxa" w:w="120"/>
            </w:tcMar>
            <w:vAlign w:val="center"/>
          </w:tcPr>
          <w:p>
            <w:r>
              <w:rPr>
                <w:b/>
                <w:bCs/>
                <w:color w:val="1F3864"/>
                <w:sz w:val="20"/>
                <w:szCs w:val="20"/>
              </w:rPr>
              <w:t xml:space="preserve">Term</w:t>
            </w:r>
          </w:p>
        </w:tc>
        <w:tc>
          <w:tcPr>
            <w:tcW w:type="dxa" w:w="6750"/>
            <w:shd w:fill="DCE6F1" w:val="clear"/>
            <w:tcMar>
              <w:top w:type="dxa" w:w="100"/>
              <w:left w:type="dxa" w:w="120"/>
              <w:bottom w:type="dxa" w:w="100"/>
              <w:right w:type="dxa" w:w="120"/>
            </w:tcMar>
            <w:vAlign w:val="center"/>
          </w:tcPr>
          <w:p>
            <w:r>
              <w:rPr>
                <w:b/>
                <w:bCs/>
                <w:color w:val="1F3864"/>
                <w:sz w:val="20"/>
                <w:szCs w:val="20"/>
              </w:rPr>
              <w:t xml:space="preserve">Meaning</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Q1 (First Quartile)</w:t>
            </w:r>
          </w:p>
        </w:tc>
        <w:tc>
          <w:tcPr>
            <w:tcW w:type="dxa" w:w="6750"/>
            <w:tcMar>
              <w:top w:type="dxa" w:w="100"/>
              <w:left w:type="dxa" w:w="120"/>
              <w:bottom w:type="dxa" w:w="100"/>
              <w:right w:type="dxa" w:w="120"/>
            </w:tcMar>
            <w:vAlign w:val="center"/>
          </w:tcPr>
          <w:p>
            <w:r>
              <w:rPr>
                <w:b w:val="false"/>
                <w:bCs w:val="false"/>
                <w:color w:val="000000"/>
                <w:sz w:val="20"/>
                <w:szCs w:val="20"/>
              </w:rPr>
              <w:t xml:space="preserve">The value below which 25% of the data falls.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Q2 (Median)</w:t>
            </w:r>
          </w:p>
        </w:tc>
        <w:tc>
          <w:tcPr>
            <w:tcW w:type="dxa" w:w="6750"/>
            <w:tcMar>
              <w:top w:type="dxa" w:w="100"/>
              <w:left w:type="dxa" w:w="120"/>
              <w:bottom w:type="dxa" w:w="100"/>
              <w:right w:type="dxa" w:w="120"/>
            </w:tcMar>
            <w:vAlign w:val="center"/>
          </w:tcPr>
          <w:p>
            <w:r>
              <w:rPr>
                <w:b w:val="false"/>
                <w:bCs w:val="false"/>
                <w:color w:val="000000"/>
                <w:sz w:val="20"/>
                <w:szCs w:val="20"/>
              </w:rPr>
              <w:t xml:space="preserve">The middle value of the dataset, below which 50% of the data falls.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Q3 (Third Quartile)</w:t>
            </w:r>
          </w:p>
        </w:tc>
        <w:tc>
          <w:tcPr>
            <w:tcW w:type="dxa" w:w="6750"/>
            <w:tcMar>
              <w:top w:type="dxa" w:w="100"/>
              <w:left w:type="dxa" w:w="120"/>
              <w:bottom w:type="dxa" w:w="100"/>
              <w:right w:type="dxa" w:w="120"/>
            </w:tcMar>
            <w:vAlign w:val="center"/>
          </w:tcPr>
          <w:p>
            <w:r>
              <w:rPr>
                <w:b w:val="false"/>
                <w:bCs w:val="false"/>
                <w:color w:val="000000"/>
                <w:sz w:val="20"/>
                <w:szCs w:val="20"/>
              </w:rPr>
              <w:t xml:space="preserve">The value below which 75% of the data falls.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IQR</w:t>
            </w:r>
          </w:p>
        </w:tc>
        <w:tc>
          <w:tcPr>
            <w:tcW w:type="dxa" w:w="6750"/>
            <w:tcMar>
              <w:top w:type="dxa" w:w="100"/>
              <w:left w:type="dxa" w:w="120"/>
              <w:bottom w:type="dxa" w:w="100"/>
              <w:right w:type="dxa" w:w="120"/>
            </w:tcMar>
            <w:vAlign w:val="center"/>
          </w:tcPr>
          <w:p>
            <w:r>
              <w:rPr>
                <w:b w:val="false"/>
                <w:bCs w:val="false"/>
                <w:color w:val="000000"/>
                <w:sz w:val="20"/>
                <w:szCs w:val="20"/>
              </w:rPr>
              <w:t xml:space="preserve">The range between Q3 and Q1, representing the spread of the middle 50% of data.</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Lower Bound</w:t>
            </w:r>
          </w:p>
        </w:tc>
        <w:tc>
          <w:tcPr>
            <w:tcW w:type="dxa" w:w="6750"/>
            <w:tcMar>
              <w:top w:type="dxa" w:w="100"/>
              <w:left w:type="dxa" w:w="120"/>
              <w:bottom w:type="dxa" w:w="100"/>
              <w:right w:type="dxa" w:w="120"/>
            </w:tcMar>
            <w:vAlign w:val="center"/>
          </w:tcPr>
          <w:p>
            <w:r>
              <w:rPr>
                <w:b w:val="false"/>
                <w:bCs w:val="false"/>
                <w:color w:val="000000"/>
                <w:sz w:val="20"/>
                <w:szCs w:val="20"/>
              </w:rPr>
              <w:t xml:space="preserve">Calculated as Q1 minus 1.5 times the IQR; values below this are treated as outliers.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Upper Bound</w:t>
            </w:r>
          </w:p>
        </w:tc>
        <w:tc>
          <w:tcPr>
            <w:tcW w:type="dxa" w:w="6750"/>
            <w:tcMar>
              <w:top w:type="dxa" w:w="100"/>
              <w:left w:type="dxa" w:w="120"/>
              <w:bottom w:type="dxa" w:w="100"/>
              <w:right w:type="dxa" w:w="120"/>
            </w:tcMar>
            <w:vAlign w:val="center"/>
          </w:tcPr>
          <w:p>
            <w:r>
              <w:rPr>
                <w:b w:val="false"/>
                <w:bCs w:val="false"/>
                <w:color w:val="000000"/>
                <w:sz w:val="20"/>
                <w:szCs w:val="20"/>
              </w:rPr>
              <w:t xml:space="preserve">Calculated as Q3 plus 1.5 times the IQR; values above this are treated as outliers.</w:t>
            </w:r>
          </w:p>
        </w:tc>
      </w:tr>
    </w:tbl>
    <w:p>
      <w:pPr>
        <w:pStyle w:val="Heading2"/>
        <w:spacing w:after="140" w:before="280"/>
      </w:pPr>
      <w:r>
        <w:t xml:space="preserve">Detection and Treatment</w:t>
      </w:r>
    </w:p>
    <w:p>
      <w:pPr>
        <w:spacing w:after="160" w:line="288"/>
        <w:jc w:val="both"/>
      </w:pPr>
      <w:r>
        <w:rPr>
          <w:sz w:val="22"/>
          <w:szCs w:val="22"/>
        </w:rPr>
        <w:t xml:space="preserve">Numeric fields such as invoice and order amounts were analyzed using this method to identify values falling outside the calculated bounds. Detected outliers were treated by capping them at the nearest bound, preserving the overall record while preventing extreme values from distorting analytics.</w:t>
      </w:r>
    </w:p>
    <w:p>
      <w:pPr>
        <w:pStyle w:val="Heading2"/>
        <w:spacing w:after="140" w:before="280"/>
      </w:pPr>
      <w:r>
        <w:t xml:space="preserve">Business Reasoning</w:t>
      </w:r>
    </w:p>
    <w:p>
      <w:pPr>
        <w:spacing w:after="160" w:line="288"/>
        <w:jc w:val="both"/>
      </w:pPr>
      <w:r>
        <w:rPr>
          <w:sz w:val="22"/>
          <w:szCs w:val="22"/>
        </w:rPr>
        <w:t xml:space="preserve">In procurement data, extreme values can arise from genuine large transactions or from data entry errors. Applying the IQR method ensures that unusually high or low amounts are reviewed and controlled, so that business reports on vendor spend are not skewed by a small number of extreme records.</w:t>
      </w:r>
    </w:p>
    <w:p>
      <w:pPr>
        <w:pStyle w:val="Heading1"/>
        <w:pageBreakBefore/>
        <w:spacing w:after="200" w:before="360"/>
      </w:pPr>
      <w:r>
        <w:t xml:space="preserve">SCD Type 2</w:t>
      </w:r>
    </w:p>
    <w:p>
      <w:pPr>
        <w:spacing w:after="160" w:line="288"/>
        <w:jc w:val="both"/>
      </w:pPr>
      <w:r>
        <w:rPr>
          <w:sz w:val="22"/>
          <w:szCs w:val="22"/>
        </w:rPr>
        <w:t xml:space="preserve">Vendor information, such as contract terms and contact details, can change over time. To accurately reflect these changes while preserving history, the pipeline implements Slowly Changing Dimension (SCD) Type 2 for the vendor contracts dataset.</w:t>
      </w:r>
    </w:p>
    <w:p>
      <w:pPr>
        <w:pStyle w:val="Heading2"/>
        <w:spacing w:after="140" w:before="280"/>
      </w:pPr>
      <w:r>
        <w:t xml:space="preserve">What is SCD?</w:t>
      </w:r>
    </w:p>
    <w:p>
      <w:pPr>
        <w:spacing w:after="160" w:line="288"/>
        <w:jc w:val="both"/>
      </w:pPr>
      <w:r>
        <w:rPr>
          <w:sz w:val="22"/>
          <w:szCs w:val="22"/>
        </w:rPr>
        <w:t xml:space="preserve">Slowly Changing Dimensions describe how a data warehouse handles changes to dimension data over time. Different SCD types offer different levels of historical tracking.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tcMar>
              <w:top w:type="dxa" w:w="100"/>
              <w:left w:type="dxa" w:w="120"/>
              <w:bottom w:type="dxa" w:w="100"/>
              <w:right w:type="dxa" w:w="120"/>
            </w:tcMar>
            <w:vAlign w:val="center"/>
          </w:tcPr>
          <w:p>
            <w:r>
              <w:rPr>
                <w:b/>
                <w:bCs/>
                <w:color w:val="1F3864"/>
                <w:sz w:val="20"/>
                <w:szCs w:val="20"/>
              </w:rPr>
              <w:t xml:space="preserve">SCD Type</w:t>
            </w:r>
          </w:p>
        </w:tc>
        <w:tc>
          <w:tcPr>
            <w:tcW w:type="dxa" w:w="7150"/>
            <w:shd w:fill="DCE6F1" w:val="clear"/>
            <w:tcMar>
              <w:top w:type="dxa" w:w="100"/>
              <w:left w:type="dxa" w:w="120"/>
              <w:bottom w:type="dxa" w:w="100"/>
              <w:right w:type="dxa" w:w="120"/>
            </w:tcMar>
            <w:vAlign w:val="center"/>
          </w:tcPr>
          <w:p>
            <w:r>
              <w:rPr>
                <w:b/>
                <w:bCs/>
                <w:color w:val="1F3864"/>
                <w:sz w:val="20"/>
                <w:szCs w:val="20"/>
              </w:rPr>
              <w:t xml:space="preserve">Behavior</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Type 1</w:t>
            </w:r>
          </w:p>
        </w:tc>
        <w:tc>
          <w:tcPr>
            <w:tcW w:type="dxa" w:w="7150"/>
            <w:tcMar>
              <w:top w:type="dxa" w:w="100"/>
              <w:left w:type="dxa" w:w="120"/>
              <w:bottom w:type="dxa" w:w="100"/>
              <w:right w:type="dxa" w:w="120"/>
            </w:tcMar>
            <w:vAlign w:val="center"/>
          </w:tcPr>
          <w:p>
            <w:r>
              <w:rPr>
                <w:b w:val="false"/>
                <w:bCs w:val="false"/>
                <w:color w:val="000000"/>
                <w:sz w:val="20"/>
                <w:szCs w:val="20"/>
              </w:rPr>
              <w:t xml:space="preserve">Overwrites old values with new values; no history is kept.</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Type 2</w:t>
            </w:r>
          </w:p>
        </w:tc>
        <w:tc>
          <w:tcPr>
            <w:tcW w:type="dxa" w:w="7150"/>
            <w:tcMar>
              <w:top w:type="dxa" w:w="100"/>
              <w:left w:type="dxa" w:w="120"/>
              <w:bottom w:type="dxa" w:w="100"/>
              <w:right w:type="dxa" w:w="120"/>
            </w:tcMar>
            <w:vAlign w:val="center"/>
          </w:tcPr>
          <w:p>
            <w:r>
              <w:rPr>
                <w:b w:val="false"/>
                <w:bCs w:val="false"/>
                <w:color w:val="000000"/>
                <w:sz w:val="20"/>
                <w:szCs w:val="20"/>
              </w:rPr>
              <w:t xml:space="preserve">Preserves history by creating a new record for each change, while keeping older records intact.</w:t>
            </w:r>
          </w:p>
        </w:tc>
      </w:tr>
      <w:tr>
        <w:tc>
          <w:tcPr>
            <w:tcW w:type="dxa" w:w="2200"/>
            <w:tcMar>
              <w:top w:type="dxa" w:w="100"/>
              <w:left w:type="dxa" w:w="120"/>
              <w:bottom w:type="dxa" w:w="100"/>
              <w:right w:type="dxa" w:w="120"/>
            </w:tcMar>
            <w:vAlign w:val="center"/>
          </w:tcPr>
          <w:p>
            <w:r>
              <w:rPr>
                <w:b w:val="false"/>
                <w:bCs w:val="false"/>
                <w:color w:val="000000"/>
                <w:sz w:val="20"/>
                <w:szCs w:val="20"/>
              </w:rPr>
              <w:t xml:space="preserve">Type 3</w:t>
            </w:r>
          </w:p>
        </w:tc>
        <w:tc>
          <w:tcPr>
            <w:tcW w:type="dxa" w:w="7150"/>
            <w:tcMar>
              <w:top w:type="dxa" w:w="100"/>
              <w:left w:type="dxa" w:w="120"/>
              <w:bottom w:type="dxa" w:w="100"/>
              <w:right w:type="dxa" w:w="120"/>
            </w:tcMar>
            <w:vAlign w:val="center"/>
          </w:tcPr>
          <w:p>
            <w:r>
              <w:rPr>
                <w:b w:val="false"/>
                <w:bCs w:val="false"/>
                <w:color w:val="000000"/>
                <w:sz w:val="20"/>
                <w:szCs w:val="20"/>
              </w:rPr>
              <w:t xml:space="preserve">Keeps limited history, typically by adding columns for previous values.</w:t>
            </w:r>
          </w:p>
        </w:tc>
      </w:tr>
    </w:tbl>
    <w:p>
      <w:pPr>
        <w:pStyle w:val="Heading2"/>
        <w:spacing w:after="140" w:before="280"/>
      </w:pPr>
      <w:r>
        <w:t xml:space="preserve">Business Example</w:t>
      </w:r>
    </w:p>
    <w:p>
      <w:pPr>
        <w:spacing w:after="160" w:line="288"/>
        <w:jc w:val="both"/>
      </w:pPr>
      <w:r>
        <w:rPr>
          <w:sz w:val="22"/>
          <w:szCs w:val="22"/>
        </w:rPr>
        <w:t xml:space="preserve">If a vendor's contract terms change, SCD Type 2 ensures that the old contract terms remain available for historical reporting, while the new terms become the current, active record. This allows analysis of vendor relationships as they existed at any point in time.</w:t>
      </w:r>
    </w:p>
    <w:p>
      <w:pPr>
        <w:pStyle w:val="Heading2"/>
        <w:spacing w:after="140" w:before="280"/>
      </w:pPr>
      <w:r>
        <w:t xml:space="preserve">Implementation with Delta MERGE</w:t>
      </w:r>
    </w:p>
    <w:p>
      <w:pPr>
        <w:spacing w:after="160" w:line="288"/>
        <w:jc w:val="both"/>
      </w:pPr>
      <w:r>
        <w:rPr>
          <w:sz w:val="22"/>
          <w:szCs w:val="22"/>
        </w:rPr>
        <w:t xml:space="preserve">The pipeline uses Delta Lake's MERGE operation to implement SCD Type 2. When a change in vendor data is detected, the existing active record is marked as inactive and end-dated, and a new record is inserted as the current active version.</w:t>
      </w:r>
    </w:p>
    <w:p>
      <w:pPr>
        <w:pStyle w:val="Heading2"/>
        <w:spacing w:after="140" w:before="280"/>
      </w:pPr>
      <w:r>
        <w:t xml:space="preserve">Active Records, Versioning, and Validation</w:t>
      </w:r>
    </w:p>
    <w:p>
      <w:pPr>
        <w:pStyle w:val="ListParagraph"/>
        <w:numPr>
          <w:ilvl w:val="0"/>
          <w:numId w:val="2"/>
        </w:numPr>
        <w:spacing w:after="80" w:line="276"/>
      </w:pPr>
      <w:r>
        <w:t xml:space="preserve">Active Records: Represent the current, up-to-date version of each vendor.</w:t>
      </w:r>
    </w:p>
    <w:p>
      <w:pPr>
        <w:pStyle w:val="ListParagraph"/>
        <w:numPr>
          <w:ilvl w:val="0"/>
          <w:numId w:val="2"/>
        </w:numPr>
        <w:spacing w:after="80" w:line="276"/>
      </w:pPr>
      <w:r>
        <w:t xml:space="preserve">Inactive Records: Represent historical versions that are no longer current but are retained for reporting.</w:t>
      </w:r>
    </w:p>
    <w:p>
      <w:pPr>
        <w:pStyle w:val="ListParagraph"/>
        <w:numPr>
          <w:ilvl w:val="0"/>
          <w:numId w:val="2"/>
        </w:numPr>
        <w:spacing w:after="80" w:line="276"/>
      </w:pPr>
      <w:r>
        <w:t xml:space="preserve">Versioning: Each record includes effective start and end dates to track when it was valid.</w:t>
      </w:r>
    </w:p>
    <w:p>
      <w:pPr>
        <w:pStyle w:val="ListParagraph"/>
        <w:numPr>
          <w:ilvl w:val="0"/>
          <w:numId w:val="2"/>
        </w:numPr>
        <w:spacing w:after="80" w:line="276"/>
      </w:pPr>
      <w:r>
        <w:t xml:space="preserve">Validation: Checks were performed to confirm that only one active record exists per vendor at any given time.</w:t>
      </w:r>
    </w:p>
    <w:p>
      <w:pPr>
        <w:pStyle w:val="Heading1"/>
        <w:pageBreakBefore/>
        <w:spacing w:after="200" w:before="360"/>
      </w:pPr>
      <w:r>
        <w:t xml:space="preserve">Gold Layer</w:t>
      </w:r>
    </w:p>
    <w:p>
      <w:pPr>
        <w:spacing w:after="160" w:line="288"/>
        <w:jc w:val="both"/>
      </w:pPr>
      <w:r>
        <w:rPr>
          <w:sz w:val="22"/>
          <w:szCs w:val="22"/>
        </w:rPr>
        <w:t xml:space="preserve">The Gold layer contains curated, business-ready tables built on top of the cleaned Silver layer data. These tables are optimized for reporting and are designed to directly answer common business questions around procurement and vendor spend.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DCE6F1" w:val="clear"/>
            <w:tcMar>
              <w:top w:type="dxa" w:w="100"/>
              <w:left w:type="dxa" w:w="120"/>
              <w:bottom w:type="dxa" w:w="100"/>
              <w:right w:type="dxa" w:w="120"/>
            </w:tcMar>
            <w:vAlign w:val="center"/>
          </w:tcPr>
          <w:p>
            <w:r>
              <w:rPr>
                <w:b/>
                <w:bCs/>
                <w:color w:val="1F3864"/>
                <w:sz w:val="20"/>
                <w:szCs w:val="20"/>
              </w:rPr>
              <w:t xml:space="preserve">Gold Table</w:t>
            </w:r>
          </w:p>
        </w:tc>
        <w:tc>
          <w:tcPr>
            <w:tcW w:type="dxa" w:w="3400"/>
            <w:shd w:fill="DCE6F1" w:val="clear"/>
            <w:tcMar>
              <w:top w:type="dxa" w:w="100"/>
              <w:left w:type="dxa" w:w="120"/>
              <w:bottom w:type="dxa" w:w="100"/>
              <w:right w:type="dxa" w:w="120"/>
            </w:tcMar>
            <w:vAlign w:val="center"/>
          </w:tcPr>
          <w:p>
            <w:r>
              <w:rPr>
                <w:b/>
                <w:bCs/>
                <w:color w:val="1F3864"/>
                <w:sz w:val="20"/>
                <w:szCs w:val="20"/>
              </w:rPr>
              <w:t xml:space="preserve">Business Purpose</w:t>
            </w:r>
          </w:p>
        </w:tc>
        <w:tc>
          <w:tcPr>
            <w:tcW w:type="dxa" w:w="3350"/>
            <w:shd w:fill="DCE6F1" w:val="clear"/>
            <w:tcMar>
              <w:top w:type="dxa" w:w="100"/>
              <w:left w:type="dxa" w:w="120"/>
              <w:bottom w:type="dxa" w:w="100"/>
              <w:right w:type="dxa" w:w="120"/>
            </w:tcMar>
            <w:vAlign w:val="center"/>
          </w:tcPr>
          <w:p>
            <w:r>
              <w:rPr>
                <w:b/>
                <w:bCs/>
                <w:color w:val="1F3864"/>
                <w:sz w:val="20"/>
                <w:szCs w:val="20"/>
              </w:rPr>
              <w:t xml:space="preserve">Example KPIs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Vendor Spend Summary</w:t>
            </w:r>
          </w:p>
        </w:tc>
        <w:tc>
          <w:tcPr>
            <w:tcW w:type="dxa" w:w="3400"/>
            <w:tcMar>
              <w:top w:type="dxa" w:w="100"/>
              <w:left w:type="dxa" w:w="120"/>
              <w:bottom w:type="dxa" w:w="100"/>
              <w:right w:type="dxa" w:w="120"/>
            </w:tcMar>
            <w:vAlign w:val="center"/>
          </w:tcPr>
          <w:p>
            <w:r>
              <w:rPr>
                <w:b w:val="false"/>
                <w:bCs w:val="false"/>
                <w:color w:val="000000"/>
                <w:sz w:val="20"/>
                <w:szCs w:val="20"/>
              </w:rPr>
              <w:t xml:space="preserve">Provides a consolidated view of total spend per vendor.</w:t>
            </w:r>
          </w:p>
        </w:tc>
        <w:tc>
          <w:tcPr>
            <w:tcW w:type="dxa" w:w="3350"/>
            <w:tcMar>
              <w:top w:type="dxa" w:w="100"/>
              <w:left w:type="dxa" w:w="120"/>
              <w:bottom w:type="dxa" w:w="100"/>
              <w:right w:type="dxa" w:w="120"/>
            </w:tcMar>
            <w:vAlign w:val="center"/>
          </w:tcPr>
          <w:p>
            <w:r>
              <w:rPr>
                <w:b w:val="false"/>
                <w:bCs w:val="false"/>
                <w:color w:val="000000"/>
                <w:sz w:val="20"/>
                <w:szCs w:val="20"/>
              </w:rPr>
              <w:t xml:space="preserve">Total spend, average order value, invoice count</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Purchase Order Analytics</w:t>
            </w:r>
          </w:p>
        </w:tc>
        <w:tc>
          <w:tcPr>
            <w:tcW w:type="dxa" w:w="3400"/>
            <w:tcMar>
              <w:top w:type="dxa" w:w="100"/>
              <w:left w:type="dxa" w:w="120"/>
              <w:bottom w:type="dxa" w:w="100"/>
              <w:right w:type="dxa" w:w="120"/>
            </w:tcMar>
            <w:vAlign w:val="center"/>
          </w:tcPr>
          <w:p>
            <w:r>
              <w:rPr>
                <w:b w:val="false"/>
                <w:bCs w:val="false"/>
                <w:color w:val="000000"/>
                <w:sz w:val="20"/>
                <w:szCs w:val="20"/>
              </w:rPr>
              <w:t xml:space="preserve">Summarizes purchase order activity and trends.</w:t>
            </w:r>
          </w:p>
        </w:tc>
        <w:tc>
          <w:tcPr>
            <w:tcW w:type="dxa" w:w="3350"/>
            <w:tcMar>
              <w:top w:type="dxa" w:w="100"/>
              <w:left w:type="dxa" w:w="120"/>
              <w:bottom w:type="dxa" w:w="100"/>
              <w:right w:type="dxa" w:w="120"/>
            </w:tcMar>
            <w:vAlign w:val="center"/>
          </w:tcPr>
          <w:p>
            <w:r>
              <w:rPr>
                <w:b w:val="false"/>
                <w:bCs w:val="false"/>
                <w:color w:val="000000"/>
                <w:sz w:val="20"/>
                <w:szCs w:val="20"/>
              </w:rPr>
              <w:t xml:space="preserve">Order volume, order value trends</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Invoice Analytics</w:t>
            </w:r>
          </w:p>
        </w:tc>
        <w:tc>
          <w:tcPr>
            <w:tcW w:type="dxa" w:w="3400"/>
            <w:tcMar>
              <w:top w:type="dxa" w:w="100"/>
              <w:left w:type="dxa" w:w="120"/>
              <w:bottom w:type="dxa" w:w="100"/>
              <w:right w:type="dxa" w:w="120"/>
            </w:tcMar>
            <w:vAlign w:val="center"/>
          </w:tcPr>
          <w:p>
            <w:r>
              <w:rPr>
                <w:b w:val="false"/>
                <w:bCs w:val="false"/>
                <w:color w:val="000000"/>
                <w:sz w:val="20"/>
                <w:szCs w:val="20"/>
              </w:rPr>
              <w:t xml:space="preserve">Analyzes invoicing patterns and amounts.</w:t>
            </w:r>
          </w:p>
        </w:tc>
        <w:tc>
          <w:tcPr>
            <w:tcW w:type="dxa" w:w="3350"/>
            <w:tcMar>
              <w:top w:type="dxa" w:w="100"/>
              <w:left w:type="dxa" w:w="120"/>
              <w:bottom w:type="dxa" w:w="100"/>
              <w:right w:type="dxa" w:w="120"/>
            </w:tcMar>
            <w:vAlign w:val="center"/>
          </w:tcPr>
          <w:p>
            <w:r>
              <w:rPr>
                <w:b w:val="false"/>
                <w:bCs w:val="false"/>
                <w:color w:val="000000"/>
                <w:sz w:val="20"/>
                <w:szCs w:val="20"/>
              </w:rPr>
              <w:t xml:space="preserve">Total invoiced amount, average invoice value</w:t>
            </w:r>
          </w:p>
        </w:tc>
      </w:tr>
      <w:tr>
        <w:tc>
          <w:tcPr>
            <w:tcW w:type="dxa" w:w="2600"/>
            <w:tcMar>
              <w:top w:type="dxa" w:w="100"/>
              <w:left w:type="dxa" w:w="120"/>
              <w:bottom w:type="dxa" w:w="100"/>
              <w:right w:type="dxa" w:w="120"/>
            </w:tcMar>
            <w:vAlign w:val="center"/>
          </w:tcPr>
          <w:p>
            <w:r>
              <w:rPr>
                <w:b w:val="false"/>
                <w:bCs w:val="false"/>
                <w:color w:val="000000"/>
                <w:sz w:val="20"/>
                <w:szCs w:val="20"/>
              </w:rPr>
              <w:t xml:space="preserve">Vendor History (SCD2)</w:t>
            </w:r>
          </w:p>
        </w:tc>
        <w:tc>
          <w:tcPr>
            <w:tcW w:type="dxa" w:w="3400"/>
            <w:tcMar>
              <w:top w:type="dxa" w:w="100"/>
              <w:left w:type="dxa" w:w="120"/>
              <w:bottom w:type="dxa" w:w="100"/>
              <w:right w:type="dxa" w:w="120"/>
            </w:tcMar>
            <w:vAlign w:val="center"/>
          </w:tcPr>
          <w:p>
            <w:r>
              <w:rPr>
                <w:b w:val="false"/>
                <w:bCs w:val="false"/>
                <w:color w:val="000000"/>
                <w:sz w:val="20"/>
                <w:szCs w:val="20"/>
              </w:rPr>
              <w:t xml:space="preserve">Provides current and historical vendor information.</w:t>
            </w:r>
          </w:p>
        </w:tc>
        <w:tc>
          <w:tcPr>
            <w:tcW w:type="dxa" w:w="3350"/>
            <w:tcMar>
              <w:top w:type="dxa" w:w="100"/>
              <w:left w:type="dxa" w:w="120"/>
              <w:bottom w:type="dxa" w:w="100"/>
              <w:right w:type="dxa" w:w="120"/>
            </w:tcMar>
            <w:vAlign w:val="center"/>
          </w:tcPr>
          <w:p>
            <w:r>
              <w:rPr>
                <w:b w:val="false"/>
                <w:bCs w:val="false"/>
                <w:color w:val="000000"/>
                <w:sz w:val="20"/>
                <w:szCs w:val="20"/>
              </w:rPr>
              <w:t xml:space="preserve">Active vendor count, contract change frequency</w:t>
            </w:r>
          </w:p>
        </w:tc>
      </w:tr>
    </w:tbl>
    <w:p>
      <w:pPr>
        <w:spacing w:after="160" w:line="288"/>
        <w:jc w:val="both"/>
      </w:pPr>
      <w:r>
        <w:rPr>
          <w:sz w:val="22"/>
          <w:szCs w:val="22"/>
        </w:rPr>
        <w:t xml:space="preserve">These Gold tables form the foundation for the SQL analytics performed in the next stage of the pipeline and can be directly used by business stakeholders for reporting and decision-making.</w:t>
      </w:r>
    </w:p>
    <w:p>
      <w:pPr>
        <w:pStyle w:val="Heading1"/>
        <w:pageBreakBefore/>
        <w:spacing w:after="200" w:before="360"/>
      </w:pPr>
      <w:r>
        <w:t xml:space="preserve">SQL Analytics</w:t>
      </w:r>
    </w:p>
    <w:p>
      <w:pPr>
        <w:spacing w:after="160" w:line="288"/>
        <w:jc w:val="both"/>
      </w:pPr>
      <w:r>
        <w:rPr>
          <w:sz w:val="22"/>
          <w:szCs w:val="22"/>
        </w:rPr>
        <w:t xml:space="preserve">With clean, business-ready Gold tables in place, Spark SQL was used to answer key business questions related to procurement and vendor spend. The focus was on writing clear, simple SQL queries that produce meaningful business insights.</w:t>
      </w:r>
    </w:p>
    <w:p>
      <w:pPr>
        <w:pStyle w:val="Heading2"/>
        <w:spacing w:after="140" w:before="280"/>
      </w:pPr>
      <w:r>
        <w:t xml:space="preserve">Why Simple SQL Queries Were Used</w:t>
      </w:r>
    </w:p>
    <w:p>
      <w:pPr>
        <w:spacing w:after="160" w:line="288"/>
        <w:jc w:val="both"/>
      </w:pPr>
      <w:r>
        <w:rPr>
          <w:sz w:val="22"/>
          <w:szCs w:val="22"/>
        </w:rPr>
        <w:t xml:space="preserve">Simple, readable SQL queries were preferred over complex nested logic to keep the analytics transparent, easy to maintain, and easy for business stakeholders to understand and verify.</w:t>
      </w:r>
    </w:p>
    <w:p>
      <w:pPr>
        <w:pStyle w:val="Heading2"/>
        <w:spacing w:after="140" w:before="280"/>
      </w:pPr>
      <w:r>
        <w:t xml:space="preserve">SQL Techniques Used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450"/>
      </w:tblGrid>
      <w:tr>
        <w:trPr>
          <w:tblHeader/>
        </w:trPr>
        <w:tc>
          <w:tcPr>
            <w:tcW w:type="dxa" w:w="2900"/>
            <w:shd w:fill="DCE6F1" w:val="clear"/>
            <w:tcMar>
              <w:top w:type="dxa" w:w="100"/>
              <w:left w:type="dxa" w:w="120"/>
              <w:bottom w:type="dxa" w:w="100"/>
              <w:right w:type="dxa" w:w="120"/>
            </w:tcMar>
            <w:vAlign w:val="center"/>
          </w:tcPr>
          <w:p>
            <w:r>
              <w:rPr>
                <w:b/>
                <w:bCs/>
                <w:color w:val="1F3864"/>
                <w:sz w:val="20"/>
                <w:szCs w:val="20"/>
              </w:rPr>
              <w:t xml:space="preserve">Technique</w:t>
            </w:r>
          </w:p>
        </w:tc>
        <w:tc>
          <w:tcPr>
            <w:tcW w:type="dxa" w:w="6450"/>
            <w:shd w:fill="DCE6F1" w:val="clear"/>
            <w:tcMar>
              <w:top w:type="dxa" w:w="100"/>
              <w:left w:type="dxa" w:w="120"/>
              <w:bottom w:type="dxa" w:w="100"/>
              <w:right w:type="dxa" w:w="120"/>
            </w:tcMar>
            <w:vAlign w:val="center"/>
          </w:tcPr>
          <w:p>
            <w:r>
              <w:rPr>
                <w:b/>
                <w:bCs/>
                <w:color w:val="1F3864"/>
                <w:sz w:val="20"/>
                <w:szCs w:val="20"/>
              </w:rPr>
              <w:t xml:space="preserve">Purpose</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SELECT</w:t>
            </w:r>
          </w:p>
        </w:tc>
        <w:tc>
          <w:tcPr>
            <w:tcW w:type="dxa" w:w="6450"/>
            <w:tcMar>
              <w:top w:type="dxa" w:w="100"/>
              <w:left w:type="dxa" w:w="120"/>
              <w:bottom w:type="dxa" w:w="100"/>
              <w:right w:type="dxa" w:w="120"/>
            </w:tcMar>
            <w:vAlign w:val="center"/>
          </w:tcPr>
          <w:p>
            <w:r>
              <w:rPr>
                <w:b w:val="false"/>
                <w:bCs w:val="false"/>
                <w:color w:val="000000"/>
                <w:sz w:val="20"/>
                <w:szCs w:val="20"/>
              </w:rPr>
              <w:t xml:space="preserve">Retrieve specific columns needed for business reporting.</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GROUP BY</w:t>
            </w:r>
          </w:p>
        </w:tc>
        <w:tc>
          <w:tcPr>
            <w:tcW w:type="dxa" w:w="6450"/>
            <w:tcMar>
              <w:top w:type="dxa" w:w="100"/>
              <w:left w:type="dxa" w:w="120"/>
              <w:bottom w:type="dxa" w:w="100"/>
              <w:right w:type="dxa" w:w="120"/>
            </w:tcMar>
            <w:vAlign w:val="center"/>
          </w:tcPr>
          <w:p>
            <w:r>
              <w:rPr>
                <w:b w:val="false"/>
                <w:bCs w:val="false"/>
                <w:color w:val="000000"/>
                <w:sz w:val="20"/>
                <w:szCs w:val="20"/>
              </w:rPr>
              <w:t xml:space="preserve">Aggregate data by vendor, time period, or category.</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HAVING</w:t>
            </w:r>
          </w:p>
        </w:tc>
        <w:tc>
          <w:tcPr>
            <w:tcW w:type="dxa" w:w="6450"/>
            <w:tcMar>
              <w:top w:type="dxa" w:w="100"/>
              <w:left w:type="dxa" w:w="120"/>
              <w:bottom w:type="dxa" w:w="100"/>
              <w:right w:type="dxa" w:w="120"/>
            </w:tcMar>
            <w:vAlign w:val="center"/>
          </w:tcPr>
          <w:p>
            <w:r>
              <w:rPr>
                <w:b w:val="false"/>
                <w:bCs w:val="false"/>
                <w:color w:val="000000"/>
                <w:sz w:val="20"/>
                <w:szCs w:val="20"/>
              </w:rPr>
              <w:t xml:space="preserve">Filter aggregated results based on business conditions.</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CASE WHEN</w:t>
            </w:r>
          </w:p>
        </w:tc>
        <w:tc>
          <w:tcPr>
            <w:tcW w:type="dxa" w:w="6450"/>
            <w:tcMar>
              <w:top w:type="dxa" w:w="100"/>
              <w:left w:type="dxa" w:w="120"/>
              <w:bottom w:type="dxa" w:w="100"/>
              <w:right w:type="dxa" w:w="120"/>
            </w:tcMar>
            <w:vAlign w:val="center"/>
          </w:tcPr>
          <w:p>
            <w:r>
              <w:rPr>
                <w:b w:val="false"/>
                <w:bCs w:val="false"/>
                <w:color w:val="000000"/>
                <w:sz w:val="20"/>
                <w:szCs w:val="20"/>
              </w:rPr>
              <w:t xml:space="preserve">Apply conditional business logic, such as categorizing spend levels.</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CTE (Common Table Expressions)</w:t>
            </w:r>
          </w:p>
        </w:tc>
        <w:tc>
          <w:tcPr>
            <w:tcW w:type="dxa" w:w="6450"/>
            <w:tcMar>
              <w:top w:type="dxa" w:w="100"/>
              <w:left w:type="dxa" w:w="120"/>
              <w:bottom w:type="dxa" w:w="100"/>
              <w:right w:type="dxa" w:w="120"/>
            </w:tcMar>
            <w:vAlign w:val="center"/>
          </w:tcPr>
          <w:p>
            <w:r>
              <w:rPr>
                <w:b w:val="false"/>
                <w:bCs w:val="false"/>
                <w:color w:val="000000"/>
                <w:sz w:val="20"/>
                <w:szCs w:val="20"/>
              </w:rPr>
              <w:t xml:space="preserve">Break complex queries into readable, logical steps.</w:t>
            </w:r>
          </w:p>
        </w:tc>
      </w:tr>
      <w:tr>
        <w:tc>
          <w:tcPr>
            <w:tcW w:type="dxa" w:w="2900"/>
            <w:tcMar>
              <w:top w:type="dxa" w:w="100"/>
              <w:left w:type="dxa" w:w="120"/>
              <w:bottom w:type="dxa" w:w="100"/>
              <w:right w:type="dxa" w:w="120"/>
            </w:tcMar>
            <w:vAlign w:val="center"/>
          </w:tcPr>
          <w:p>
            <w:r>
              <w:rPr>
                <w:b w:val="false"/>
                <w:bCs w:val="false"/>
                <w:color w:val="000000"/>
                <w:sz w:val="20"/>
                <w:szCs w:val="20"/>
              </w:rPr>
              <w:t xml:space="preserve">Aggregations</w:t>
            </w:r>
          </w:p>
        </w:tc>
        <w:tc>
          <w:tcPr>
            <w:tcW w:type="dxa" w:w="6450"/>
            <w:tcMar>
              <w:top w:type="dxa" w:w="100"/>
              <w:left w:type="dxa" w:w="120"/>
              <w:bottom w:type="dxa" w:w="100"/>
              <w:right w:type="dxa" w:w="120"/>
            </w:tcMar>
            <w:vAlign w:val="center"/>
          </w:tcPr>
          <w:p>
            <w:r>
              <w:rPr>
                <w:b w:val="false"/>
                <w:bCs w:val="false"/>
                <w:color w:val="000000"/>
                <w:sz w:val="20"/>
                <w:szCs w:val="20"/>
              </w:rPr>
              <w:t xml:space="preserve">Calculate totals, averages, and counts for business metrics.</w:t>
            </w:r>
          </w:p>
        </w:tc>
      </w:tr>
    </w:tbl>
    <w:p>
      <w:pPr>
        <w:spacing w:after="160" w:line="288"/>
        <w:jc w:val="both"/>
      </w:pPr>
      <w:r>
        <w:rPr>
          <w:sz w:val="22"/>
          <w:szCs w:val="22"/>
        </w:rPr>
        <w:t xml:space="preserve">These queries were used to generate insights such as top vendors by spend, monthly spend trends, and invoice-to-order comparisons, directly supporting procurement business reporting needs.</w:t>
      </w:r>
    </w:p>
    <w:p>
      <w:pPr>
        <w:pStyle w:val="Heading1"/>
        <w:pageBreakBefore/>
        <w:spacing w:after="200" w:before="360"/>
      </w:pPr>
      <w:r>
        <w:t xml:space="preserve">Data Validation</w:t>
      </w:r>
    </w:p>
    <w:p>
      <w:pPr>
        <w:spacing w:after="160" w:line="288"/>
        <w:jc w:val="both"/>
      </w:pPr>
      <w:r>
        <w:rPr>
          <w:sz w:val="22"/>
          <w:szCs w:val="22"/>
        </w:rPr>
        <w:t xml:space="preserve">A comprehensive data validation report was created to confirm the reliability and correctness of the pipeline at each stage. Validation is a critical step in any data engineering project, as it builds confidence that the final data can be trusted for business decisions.</w:t>
      </w:r>
    </w:p>
    <w:p>
      <w:pPr>
        <w:pStyle w:val="Heading2"/>
        <w:spacing w:after="140" w:before="280"/>
      </w:pPr>
      <w:r>
        <w:t xml:space="preserve">Validation Strategy</w:t>
      </w:r>
    </w:p>
    <w:p>
      <w:pPr>
        <w:spacing w:after="160" w:line="288"/>
        <w:jc w:val="both"/>
      </w:pPr>
      <w:r>
        <w:rPr>
          <w:sz w:val="22"/>
          <w:szCs w:val="22"/>
        </w:rPr>
        <w:t xml:space="preserve">Validation checks were designed to cover completeness, accuracy, and consistency of data as it moved through the Bronze, Silver, and Gold layers.</w:t>
      </w:r>
    </w:p>
    <w:p>
      <w:pPr>
        <w:pStyle w:val="Heading2"/>
        <w:spacing w:after="140" w:before="280"/>
      </w:pPr>
      <w:r>
        <w:t xml:space="preserve">Tables Validated</w:t>
      </w:r>
    </w:p>
    <w:p>
      <w:pPr>
        <w:pStyle w:val="ListParagraph"/>
        <w:numPr>
          <w:ilvl w:val="0"/>
          <w:numId w:val="2"/>
        </w:numPr>
        <w:spacing w:after="80" w:line="276"/>
      </w:pPr>
      <w:r>
        <w:t xml:space="preserve">Bronze, Silver, and Gold tables for purchase orders, invoices, and vendor contracts.</w:t>
      </w:r>
    </w:p>
    <w:p>
      <w:pPr>
        <w:pStyle w:val="ListParagraph"/>
        <w:numPr>
          <w:ilvl w:val="0"/>
          <w:numId w:val="2"/>
        </w:numPr>
        <w:spacing w:after="80" w:line="276"/>
      </w:pPr>
      <w:r>
        <w:t xml:space="preserve">SCD Type 2 vendor history table, to confirm correct historical tracking.</w:t>
      </w:r>
    </w:p>
    <w:p>
      <w:pPr>
        <w:pStyle w:val="Heading2"/>
        <w:spacing w:after="140" w:before="280"/>
      </w:pPr>
      <w:r>
        <w:t xml:space="preserve">Checks Performed</w:t>
      </w:r>
    </w:p>
    <w:p>
      <w:pPr>
        <w:pStyle w:val="ListParagraph"/>
        <w:numPr>
          <w:ilvl w:val="0"/>
          <w:numId w:val="2"/>
        </w:numPr>
        <w:spacing w:after="80" w:line="276"/>
      </w:pPr>
      <w:r>
        <w:t xml:space="preserve">Row count comparisons across layers to detect unexpected data loss.</w:t>
      </w:r>
    </w:p>
    <w:p>
      <w:pPr>
        <w:pStyle w:val="ListParagraph"/>
        <w:numPr>
          <w:ilvl w:val="0"/>
          <w:numId w:val="2"/>
        </w:numPr>
        <w:spacing w:after="80" w:line="276"/>
      </w:pPr>
      <w:r>
        <w:t xml:space="preserve">Null and missing value checks on critical business fields.</w:t>
      </w:r>
    </w:p>
    <w:p>
      <w:pPr>
        <w:pStyle w:val="ListParagraph"/>
        <w:numPr>
          <w:ilvl w:val="0"/>
          <w:numId w:val="2"/>
        </w:numPr>
        <w:spacing w:after="80" w:line="276"/>
      </w:pPr>
      <w:r>
        <w:t xml:space="preserve">Duplicate checks to confirm successful deduplication.</w:t>
      </w:r>
    </w:p>
    <w:p>
      <w:pPr>
        <w:pStyle w:val="ListParagraph"/>
        <w:numPr>
          <w:ilvl w:val="0"/>
          <w:numId w:val="2"/>
        </w:numPr>
        <w:spacing w:after="80" w:line="276"/>
      </w:pPr>
      <w:r>
        <w:t xml:space="preserve">Range checks to confirm outlier treatment was applied correctly.</w:t>
      </w:r>
    </w:p>
    <w:p>
      <w:pPr>
        <w:pStyle w:val="ListParagraph"/>
        <w:numPr>
          <w:ilvl w:val="0"/>
          <w:numId w:val="2"/>
        </w:numPr>
        <w:spacing w:after="80" w:line="276"/>
      </w:pPr>
      <w:r>
        <w:t xml:space="preserve">Validation that only one active SCD Type 2 record exists per vendor.</w:t>
      </w:r>
    </w:p>
    <w:p>
      <w:pPr>
        <w:pStyle w:val="Heading2"/>
        <w:spacing w:after="140" w:before="280"/>
      </w:pPr>
      <w:r>
        <w:t xml:space="preserve">Importance of Validation</w:t>
      </w:r>
    </w:p>
    <w:p>
      <w:pPr>
        <w:spacing w:after="160" w:line="288"/>
        <w:jc w:val="both"/>
      </w:pPr>
      <w:r>
        <w:rPr>
          <w:sz w:val="22"/>
          <w:szCs w:val="22"/>
        </w:rPr>
        <w:t xml:space="preserve">Without validation, data quality issues could silently pass through the pipeline and lead to incorrect business insights. The validation report provides measurable proof that the pipeline produces reliable, trustworthy data at every stage.</w:t>
      </w:r>
    </w:p>
    <w:p>
      <w:pPr>
        <w:pStyle w:val="Heading1"/>
        <w:pageBreakBefore/>
        <w:spacing w:after="200" w:before="360"/>
      </w:pPr>
      <w:r>
        <w:t xml:space="preserve">Challenges &amp; Solutions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DCE6F1" w:val="clear"/>
            <w:tcMar>
              <w:top w:type="dxa" w:w="100"/>
              <w:left w:type="dxa" w:w="120"/>
              <w:bottom w:type="dxa" w:w="100"/>
              <w:right w:type="dxa" w:w="120"/>
            </w:tcMar>
            <w:vAlign w:val="center"/>
          </w:tcPr>
          <w:p>
            <w:r>
              <w:rPr>
                <w:b/>
                <w:bCs/>
                <w:color w:val="1F3864"/>
                <w:sz w:val="20"/>
                <w:szCs w:val="20"/>
              </w:rPr>
              <w:t xml:space="preserve">Challenge</w:t>
            </w:r>
          </w:p>
        </w:tc>
        <w:tc>
          <w:tcPr>
            <w:tcW w:type="dxa" w:w="5150"/>
            <w:shd w:fill="DCE6F1" w:val="clear"/>
            <w:tcMar>
              <w:top w:type="dxa" w:w="100"/>
              <w:left w:type="dxa" w:w="120"/>
              <w:bottom w:type="dxa" w:w="100"/>
              <w:right w:type="dxa" w:w="120"/>
            </w:tcMar>
            <w:vAlign w:val="center"/>
          </w:tcPr>
          <w:p>
            <w:r>
              <w:rPr>
                <w:b/>
                <w:bCs/>
                <w:color w:val="1F3864"/>
                <w:sz w:val="20"/>
                <w:szCs w:val="20"/>
              </w:rPr>
              <w:t xml:space="preserve">Solution</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Generating realistic synthetic data with meaningful quality issues.</w:t>
            </w:r>
          </w:p>
        </w:tc>
        <w:tc>
          <w:tcPr>
            <w:tcW w:type="dxa" w:w="5150"/>
            <w:tcMar>
              <w:top w:type="dxa" w:w="100"/>
              <w:left w:type="dxa" w:w="120"/>
              <w:bottom w:type="dxa" w:w="100"/>
              <w:right w:type="dxa" w:w="120"/>
            </w:tcMar>
            <w:vAlign w:val="center"/>
          </w:tcPr>
          <w:p>
            <w:r>
              <w:rPr>
                <w:b w:val="false"/>
                <w:bCs w:val="false"/>
                <w:color w:val="000000"/>
                <w:sz w:val="20"/>
                <w:szCs w:val="20"/>
              </w:rPr>
              <w:t xml:space="preserve">Designed data generation logic in Python to intentionally introduce missing values, duplicates, and outliers in a controlled manner.</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Choosing appropriate statistical methods for missing value treatment.</w:t>
            </w:r>
          </w:p>
        </w:tc>
        <w:tc>
          <w:tcPr>
            <w:tcW w:type="dxa" w:w="5150"/>
            <w:tcMar>
              <w:top w:type="dxa" w:w="100"/>
              <w:left w:type="dxa" w:w="120"/>
              <w:bottom w:type="dxa" w:w="100"/>
              <w:right w:type="dxa" w:w="120"/>
            </w:tcMar>
            <w:vAlign w:val="center"/>
          </w:tcPr>
          <w:p>
            <w:r>
              <w:rPr>
                <w:b w:val="false"/>
                <w:bCs w:val="false"/>
                <w:color w:val="000000"/>
                <w:sz w:val="20"/>
                <w:szCs w:val="20"/>
              </w:rPr>
              <w:t xml:space="preserve">Applied mean, median, or mode based on the distribution and nature of each field.</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Correctly identifying outliers without removing valid business data.</w:t>
            </w:r>
          </w:p>
        </w:tc>
        <w:tc>
          <w:tcPr>
            <w:tcW w:type="dxa" w:w="5150"/>
            <w:tcMar>
              <w:top w:type="dxa" w:w="100"/>
              <w:left w:type="dxa" w:w="120"/>
              <w:bottom w:type="dxa" w:w="100"/>
              <w:right w:type="dxa" w:w="120"/>
            </w:tcMar>
            <w:vAlign w:val="center"/>
          </w:tcPr>
          <w:p>
            <w:r>
              <w:rPr>
                <w:b w:val="false"/>
                <w:bCs w:val="false"/>
                <w:color w:val="000000"/>
                <w:sz w:val="20"/>
                <w:szCs w:val="20"/>
              </w:rPr>
              <w:t xml:space="preserve">Used the IQR method with capping rather than removal, preserving records while controlling extreme values.</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Implementing historical tracking without losing current data accuracy.</w:t>
            </w:r>
          </w:p>
        </w:tc>
        <w:tc>
          <w:tcPr>
            <w:tcW w:type="dxa" w:w="5150"/>
            <w:tcMar>
              <w:top w:type="dxa" w:w="100"/>
              <w:left w:type="dxa" w:w="120"/>
              <w:bottom w:type="dxa" w:w="100"/>
              <w:right w:type="dxa" w:w="120"/>
            </w:tcMar>
            <w:vAlign w:val="center"/>
          </w:tcPr>
          <w:p>
            <w:r>
              <w:rPr>
                <w:b w:val="false"/>
                <w:bCs w:val="false"/>
                <w:color w:val="000000"/>
                <w:sz w:val="20"/>
                <w:szCs w:val="20"/>
              </w:rPr>
              <w:t xml:space="preserve">Used Delta Lake MERGE to implement SCD Type 2 with clear active and inactive record management.</w:t>
            </w:r>
          </w:p>
        </w:tc>
      </w:tr>
      <w:tr>
        <w:tc>
          <w:tcPr>
            <w:tcW w:type="dxa" w:w="4200"/>
            <w:tcMar>
              <w:top w:type="dxa" w:w="100"/>
              <w:left w:type="dxa" w:w="120"/>
              <w:bottom w:type="dxa" w:w="100"/>
              <w:right w:type="dxa" w:w="120"/>
            </w:tcMar>
            <w:vAlign w:val="center"/>
          </w:tcPr>
          <w:p>
            <w:r>
              <w:rPr>
                <w:b w:val="false"/>
                <w:bCs w:val="false"/>
                <w:color w:val="000000"/>
                <w:sz w:val="20"/>
                <w:szCs w:val="20"/>
              </w:rPr>
              <w:t xml:space="preserve">Ensuring pipeline reliability across multiple layers.</w:t>
            </w:r>
          </w:p>
        </w:tc>
        <w:tc>
          <w:tcPr>
            <w:tcW w:type="dxa" w:w="5150"/>
            <w:tcMar>
              <w:top w:type="dxa" w:w="100"/>
              <w:left w:type="dxa" w:w="120"/>
              <w:bottom w:type="dxa" w:w="100"/>
              <w:right w:type="dxa" w:w="120"/>
            </w:tcMar>
            <w:vAlign w:val="center"/>
          </w:tcPr>
          <w:p>
            <w:r>
              <w:rPr>
                <w:b w:val="false"/>
                <w:bCs w:val="false"/>
                <w:color w:val="000000"/>
                <w:sz w:val="20"/>
                <w:szCs w:val="20"/>
              </w:rPr>
              <w:t xml:space="preserve">Built a structured data validation report with checks at each stage of the pipeline.</w:t>
            </w:r>
          </w:p>
        </w:tc>
      </w:tr>
    </w:tbl>
    <w:p>
      <w:pPr>
        <w:pStyle w:val="Heading1"/>
        <w:pageBreakBefore/>
        <w:spacing w:after="200" w:before="360"/>
      </w:pPr>
      <w:r>
        <w:t xml:space="preserve">Learning Outcomes</w:t>
      </w:r>
    </w:p>
    <w:p>
      <w:pPr>
        <w:spacing w:after="160" w:line="288"/>
        <w:jc w:val="both"/>
      </w:pPr>
      <w:r>
        <w:rPr>
          <w:sz w:val="22"/>
          <w:szCs w:val="22"/>
        </w:rPr>
        <w:t xml:space="preserve">This project provided hands-on experience with modern data engineering tools and practices. Key skills gained include:</w:t>
      </w:r>
    </w:p>
    <w:p>
      <w:pPr>
        <w:pStyle w:val="ListParagraph"/>
        <w:numPr>
          <w:ilvl w:val="0"/>
          <w:numId w:val="2"/>
        </w:numPr>
        <w:spacing w:after="80" w:line="276"/>
      </w:pPr>
      <w:r>
        <w:t xml:space="preserve">Designing and implementing a Medallion Architecture data pipeline.</w:t>
      </w:r>
    </w:p>
    <w:p>
      <w:pPr>
        <w:pStyle w:val="ListParagraph"/>
        <w:numPr>
          <w:ilvl w:val="0"/>
          <w:numId w:val="2"/>
        </w:numPr>
        <w:spacing w:after="80" w:line="276"/>
      </w:pPr>
      <w:r>
        <w:t xml:space="preserve">Working with PySpark and Spark SQL for large-scale data processing.</w:t>
      </w:r>
    </w:p>
    <w:p>
      <w:pPr>
        <w:pStyle w:val="ListParagraph"/>
        <w:numPr>
          <w:ilvl w:val="0"/>
          <w:numId w:val="2"/>
        </w:numPr>
        <w:spacing w:after="80" w:line="276"/>
      </w:pPr>
      <w:r>
        <w:t xml:space="preserve">Using Delta Lake for reliable, ACID-compliant data storage and MERGE operations.</w:t>
      </w:r>
    </w:p>
    <w:p>
      <w:pPr>
        <w:pStyle w:val="ListParagraph"/>
        <w:numPr>
          <w:ilvl w:val="0"/>
          <w:numId w:val="2"/>
        </w:numPr>
        <w:spacing w:after="80" w:line="276"/>
      </w:pPr>
      <w:r>
        <w:t xml:space="preserve">Applying statistical techniques for missing value treatment and outlier detection.</w:t>
      </w:r>
    </w:p>
    <w:p>
      <w:pPr>
        <w:pStyle w:val="ListParagraph"/>
        <w:numPr>
          <w:ilvl w:val="0"/>
          <w:numId w:val="2"/>
        </w:numPr>
        <w:spacing w:after="80" w:line="276"/>
      </w:pPr>
      <w:r>
        <w:t xml:space="preserve">Implementing Slowly Changing Dimensions (SCD Type 2) for historical data tracking.</w:t>
      </w:r>
    </w:p>
    <w:p>
      <w:pPr>
        <w:pStyle w:val="ListParagraph"/>
        <w:numPr>
          <w:ilvl w:val="0"/>
          <w:numId w:val="2"/>
        </w:numPr>
        <w:spacing w:after="80" w:line="276"/>
      </w:pPr>
      <w:r>
        <w:t xml:space="preserve">Writing business-focused SQL analytics using GROUP BY, CASE WHEN, and CTEs.</w:t>
      </w:r>
    </w:p>
    <w:p>
      <w:pPr>
        <w:pStyle w:val="ListParagraph"/>
        <w:numPr>
          <w:ilvl w:val="0"/>
          <w:numId w:val="2"/>
        </w:numPr>
        <w:spacing w:after="80" w:line="276"/>
      </w:pPr>
      <w:r>
        <w:t xml:space="preserve">Building and interpreting data validation checks to ensure pipeline reliability.</w:t>
      </w:r>
    </w:p>
    <w:p>
      <w:pPr>
        <w:pStyle w:val="ListParagraph"/>
        <w:numPr>
          <w:ilvl w:val="0"/>
          <w:numId w:val="2"/>
        </w:numPr>
        <w:spacing w:after="80" w:line="276"/>
      </w:pPr>
      <w:r>
        <w:t xml:space="preserve">Using Databricks and Unity Catalog for managing data pipelines and governance.</w:t>
      </w:r>
    </w:p>
    <w:p>
      <w:pPr>
        <w:pStyle w:val="ListParagraph"/>
        <w:numPr>
          <w:ilvl w:val="0"/>
          <w:numId w:val="2"/>
        </w:numPr>
        <w:spacing w:after="80" w:line="276"/>
      </w:pPr>
      <w:r>
        <w:t xml:space="preserve">Using Git and GitHub for version control throughout the project.</w:t>
      </w:r>
    </w:p>
    <w:p>
      <w:pPr>
        <w:pStyle w:val="Heading1"/>
        <w:pageBreakBefore/>
        <w:spacing w:after="200" w:before="360"/>
      </w:pPr>
      <w:r>
        <w:t xml:space="preserve">Conclusion</w:t>
      </w:r>
    </w:p>
    <w:p>
      <w:pPr>
        <w:spacing w:after="160" w:line="288"/>
        <w:jc w:val="both"/>
      </w:pPr>
      <w:r>
        <w:rPr>
          <w:sz w:val="22"/>
          <w:szCs w:val="22"/>
        </w:rPr>
        <w:t xml:space="preserve">The Procurement &amp; Vendor Spend Analytics Pipeline successfully demonstrates how raw, imperfect procurement data can be transformed into reliable, business-ready analytics using the Medallion Architecture. By combining synthetic data generation, statistical cleaning, outlier detection, historical tracking through SCD Type 2, and SQL-based analytics, the project delivers a complete and practical data engineering solution.</w:t>
      </w:r>
    </w:p>
    <w:p>
      <w:pPr>
        <w:spacing w:after="160" w:line="288"/>
        <w:jc w:val="both"/>
      </w:pPr>
      <w:r>
        <w:rPr>
          <w:sz w:val="22"/>
          <w:szCs w:val="22"/>
        </w:rPr>
        <w:t xml:space="preserve">From a business perspective, the pipeline enables clear visibility into vendor spend, supports accurate historical reporting, and ensures that decision-makers can trust the underlying data. From a technical perspective, the project showcases practical application of PySpark, Delta Lake, Spark SQL, and Databricks in building a scalable and maintainable data pipeline.</w:t>
      </w:r>
    </w:p>
    <w:p>
      <w:pPr>
        <w:spacing w:after="160" w:line="288"/>
        <w:jc w:val="both"/>
      </w:pPr>
      <w:r>
        <w:rPr>
          <w:sz w:val="22"/>
          <w:szCs w:val="22"/>
        </w:rPr>
        <w:t xml:space="preserve">Overall, this project reflects a solid understanding of end-to-end data engineering practices and provides a strong foundation for further work in building enterprise-scale analytics solutions.</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Procurement &amp; Vendor Spend Analytics Pipeline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Procurement &amp; Vendor Spend Analytics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395" w:sz="6" w:space="4"/>
      </w:pBdr>
      <w:spacing w:after="200" w:before="240"/>
    </w:pPr>
    <w:rPr>
      <w:rFonts w:ascii="Calibri" w:cs="Calibri" w:eastAsia="Calibri" w:hAnsi="Calibri"/>
      <w:b/>
      <w:bCs/>
      <w:color w:val="1F3864"/>
      <w:sz w:val="32"/>
      <w:szCs w:val="32"/>
    </w:rPr>
  </w:style>
  <w:style w:type="paragraph" w:styleId="Heading2">
    <w:name w:val="Heading 2"/>
    <w:basedOn w:val="Normal"/>
    <w:next w:val="Normal"/>
    <w:qFormat/>
    <w:pPr>
      <w:spacing w:after="120" w:before="220"/>
    </w:pPr>
    <w:rPr>
      <w:rFonts w:ascii="Calibri" w:cs="Calibri" w:eastAsia="Calibri" w:hAnsi="Calibri"/>
      <w:b/>
      <w:bCs/>
      <w:color w:val="2E5395"/>
      <w:sz w:val="26"/>
      <w:szCs w:val="26"/>
    </w:rPr>
  </w:style>
  <w:style w:type="paragraph" w:styleId="Heading3">
    <w:name w:val="Heading 3"/>
    <w:basedOn w:val="Normal"/>
    <w:next w:val="Normal"/>
    <w:qFormat/>
    <w:pPr>
      <w:spacing w:after="100" w:before="160"/>
    </w:pPr>
    <w:rPr>
      <w:rFonts w:ascii="Calibri" w:cs="Calibri" w:eastAsia="Calibri" w:hAnsi="Calibri"/>
      <w:b/>
      <w:bCs/>
      <w:i/>
      <w:i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&amp; Vendor Spend Analytics Pipeline Documentation</dc:title>
  <dc:creator>Data Engineering Internship Project</dc:creator>
  <cp:lastModifiedBy>Un-named</cp:lastModifiedBy>
  <cp:revision>1</cp:revision>
  <dcterms:created xsi:type="dcterms:W3CDTF">2026-07-12T10:28:11.839Z</dcterms:created>
  <dcterms:modified xsi:type="dcterms:W3CDTF">2026-07-12T10:28:11.856Z</dcterms:modified>
</cp:coreProperties>
</file>

<file path=docProps/custom.xml><?xml version="1.0" encoding="utf-8"?>
<Properties xmlns="http://schemas.openxmlformats.org/officeDocument/2006/custom-properties" xmlns:vt="http://schemas.openxmlformats.org/officeDocument/2006/docPropsVTypes"/>
</file>