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875B" w14:textId="77777777" w:rsidR="00B80AB2" w:rsidRDefault="00B80AB2">
      <w:pPr>
        <w:rPr>
          <w:rFonts w:ascii="Arial Narrow" w:eastAsia="Arial Narrow" w:hAnsi="Arial Narrow" w:cs="Arial Narrow"/>
          <w:b/>
          <w:sz w:val="32"/>
          <w:szCs w:val="32"/>
        </w:rPr>
      </w:pPr>
    </w:p>
    <w:p w14:paraId="7EED875C" w14:textId="77777777" w:rsidR="00B80AB2" w:rsidRDefault="00000000">
      <w:pPr>
        <w:pStyle w:val="Title"/>
        <w:rPr>
          <w:b/>
          <w:color w:val="212121"/>
          <w:sz w:val="72"/>
          <w:szCs w:val="72"/>
        </w:rPr>
      </w:pPr>
      <w:r>
        <w:rPr>
          <w:noProof/>
        </w:rPr>
        <w:drawing>
          <wp:inline distT="0" distB="0" distL="0" distR="0" wp14:anchorId="7EED8847" wp14:editId="7EED8848">
            <wp:extent cx="5835650" cy="2707742"/>
            <wp:effectExtent l="0" t="0" r="0" b="0"/>
            <wp:docPr id="7" name="image3.png" descr="C:\Users\Vo Thanh Trung\Desktop\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Vo Thanh Trung\Desktop\image0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707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D875D" w14:textId="77777777" w:rsidR="00B80AB2" w:rsidRDefault="00000000">
      <w:pPr>
        <w:pStyle w:val="Title"/>
      </w:pPr>
      <w:bookmarkStart w:id="0" w:name="_heading=h.gjdgxs" w:colFirst="0" w:colLast="0"/>
      <w:bookmarkEnd w:id="0"/>
      <w:r>
        <w:t>ISFS622: Quantum Computing in Financial Services</w:t>
      </w:r>
    </w:p>
    <w:p w14:paraId="7EED875E" w14:textId="77777777" w:rsidR="00B80AB2" w:rsidRDefault="00000000">
      <w:pPr>
        <w:pStyle w:val="Title"/>
        <w:rPr>
          <w:sz w:val="23"/>
          <w:szCs w:val="23"/>
        </w:rPr>
      </w:pPr>
      <w:bookmarkStart w:id="1" w:name="_heading=h.67z83dn8ilhw" w:colFirst="0" w:colLast="0"/>
      <w:bookmarkEnd w:id="1"/>
      <w:r>
        <w:t>Assignment 2: Technical Specification Template (Group)</w:t>
      </w:r>
    </w:p>
    <w:p w14:paraId="7EED875F" w14:textId="77777777" w:rsidR="00B80AB2" w:rsidRDefault="00B80AB2">
      <w:pPr>
        <w:shd w:val="clear" w:color="auto" w:fill="FFFFFF"/>
        <w:spacing w:before="120" w:after="120" w:line="240" w:lineRule="auto"/>
        <w:jc w:val="both"/>
        <w:rPr>
          <w:b/>
          <w:color w:val="212121"/>
          <w:sz w:val="28"/>
          <w:szCs w:val="28"/>
        </w:rPr>
      </w:pPr>
    </w:p>
    <w:p w14:paraId="7EED8760" w14:textId="77777777" w:rsidR="00B80AB2" w:rsidRDefault="00000000">
      <w:pPr>
        <w:shd w:val="clear" w:color="auto" w:fill="FFFFFF"/>
        <w:spacing w:before="120" w:after="120" w:line="240" w:lineRule="auto"/>
        <w:jc w:val="both"/>
        <w:rPr>
          <w:b/>
          <w:color w:val="212121"/>
          <w:sz w:val="28"/>
          <w:szCs w:val="28"/>
        </w:rPr>
      </w:pPr>
      <w:r>
        <w:rPr>
          <w:b/>
          <w:color w:val="212121"/>
          <w:sz w:val="28"/>
          <w:szCs w:val="28"/>
        </w:rPr>
        <w:t>Topic:</w:t>
      </w:r>
      <w:r>
        <w:t xml:space="preserve"> Quantum-Assisted Multi-Asset Portfolio Optimisation – Cardinality-Constrained Mean-Variance Asset Selection with QAOA</w:t>
      </w:r>
    </w:p>
    <w:p w14:paraId="50654315" w14:textId="370FB290" w:rsidR="007E7BFD" w:rsidRDefault="00000000">
      <w:pPr>
        <w:shd w:val="clear" w:color="auto" w:fill="FFFFFF"/>
        <w:spacing w:before="120" w:after="120" w:line="240" w:lineRule="auto"/>
        <w:jc w:val="both"/>
        <w:rPr>
          <w:b/>
          <w:color w:val="212121"/>
          <w:sz w:val="24"/>
          <w:szCs w:val="24"/>
        </w:rPr>
      </w:pPr>
      <w:r>
        <w:rPr>
          <w:b/>
          <w:color w:val="212121"/>
          <w:sz w:val="24"/>
          <w:szCs w:val="24"/>
        </w:rPr>
        <w:t>Student Names:</w:t>
      </w:r>
      <w:r w:rsidR="007E7BFD">
        <w:rPr>
          <w:b/>
          <w:color w:val="212121"/>
          <w:sz w:val="24"/>
          <w:szCs w:val="24"/>
        </w:rPr>
        <w:t xml:space="preserve"> Justin Ng, </w:t>
      </w:r>
      <w:r w:rsidR="00A91B59">
        <w:rPr>
          <w:b/>
          <w:color w:val="212121"/>
          <w:sz w:val="24"/>
          <w:szCs w:val="24"/>
        </w:rPr>
        <w:t xml:space="preserve">Phua Zai Wei, Pek Ling Hong, </w:t>
      </w:r>
      <w:r w:rsidR="00A91B59" w:rsidRPr="00A91B59">
        <w:rPr>
          <w:b/>
          <w:color w:val="212121"/>
          <w:sz w:val="24"/>
          <w:szCs w:val="24"/>
        </w:rPr>
        <w:t xml:space="preserve">Sreeraj Kaucek </w:t>
      </w:r>
      <w:r w:rsidR="00A91B59" w:rsidRPr="00A91B59">
        <w:rPr>
          <w:b/>
          <w:color w:val="212121"/>
          <w:sz w:val="24"/>
          <w:szCs w:val="24"/>
        </w:rPr>
        <w:t>Arunkumar</w:t>
      </w:r>
    </w:p>
    <w:p w14:paraId="2DAFF78E" w14:textId="77777777" w:rsidR="007E7BFD" w:rsidRDefault="007E7BFD">
      <w:pPr>
        <w:shd w:val="clear" w:color="auto" w:fill="FFFFFF"/>
        <w:spacing w:before="120" w:after="120" w:line="240" w:lineRule="auto"/>
        <w:jc w:val="both"/>
        <w:rPr>
          <w:b/>
          <w:color w:val="212121"/>
          <w:sz w:val="24"/>
          <w:szCs w:val="24"/>
        </w:rPr>
      </w:pPr>
    </w:p>
    <w:p w14:paraId="7EED8762" w14:textId="57CB4F59" w:rsidR="00B80AB2" w:rsidRDefault="00000000">
      <w:pPr>
        <w:shd w:val="clear" w:color="auto" w:fill="FFFFFF"/>
        <w:spacing w:before="120" w:after="120" w:line="240" w:lineRule="auto"/>
        <w:jc w:val="both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 </w:t>
      </w:r>
      <w:r>
        <w:br w:type="page"/>
      </w:r>
    </w:p>
    <w:p w14:paraId="7EED8764" w14:textId="77777777" w:rsidR="00B80AB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lastRenderedPageBreak/>
        <w:t>Contents</w:t>
      </w:r>
    </w:p>
    <w:sdt>
      <w:sdtPr>
        <w:id w:val="783080318"/>
        <w:docPartObj>
          <w:docPartGallery w:val="Table of Contents"/>
          <w:docPartUnique/>
        </w:docPartObj>
      </w:sdtPr>
      <w:sdtContent>
        <w:p w14:paraId="774D6C75" w14:textId="1C622DF5" w:rsidR="00A91B59" w:rsidRDefault="00000000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4007478" w:history="1">
            <w:r w:rsidR="00A91B59" w:rsidRPr="002A1CD1">
              <w:rPr>
                <w:rStyle w:val="Hyperlink"/>
                <w:rFonts w:ascii="Arial" w:eastAsia="Arial" w:hAnsi="Arial" w:cs="Arial"/>
                <w:b/>
                <w:noProof/>
              </w:rPr>
              <w:t>1.</w:t>
            </w:r>
            <w:r w:rsidR="00A91B5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="00A91B59" w:rsidRPr="002A1CD1">
              <w:rPr>
                <w:rStyle w:val="Hyperlink"/>
                <w:rFonts w:ascii="Arial" w:eastAsia="Arial" w:hAnsi="Arial" w:cs="Arial"/>
                <w:b/>
                <w:noProof/>
              </w:rPr>
              <w:t>Technical Solution Overview</w:t>
            </w:r>
            <w:r w:rsidR="00A91B59">
              <w:rPr>
                <w:noProof/>
                <w:webHidden/>
              </w:rPr>
              <w:tab/>
            </w:r>
            <w:r w:rsidR="00A91B59">
              <w:rPr>
                <w:noProof/>
                <w:webHidden/>
              </w:rPr>
              <w:fldChar w:fldCharType="begin"/>
            </w:r>
            <w:r w:rsidR="00A91B59">
              <w:rPr>
                <w:noProof/>
                <w:webHidden/>
              </w:rPr>
              <w:instrText xml:space="preserve"> PAGEREF _Toc234007478 \h </w:instrText>
            </w:r>
            <w:r w:rsidR="00A91B59">
              <w:rPr>
                <w:noProof/>
                <w:webHidden/>
              </w:rPr>
            </w:r>
            <w:r w:rsidR="00A91B59">
              <w:rPr>
                <w:noProof/>
                <w:webHidden/>
              </w:rPr>
              <w:fldChar w:fldCharType="separate"/>
            </w:r>
            <w:r w:rsidR="00A91B59">
              <w:rPr>
                <w:noProof/>
                <w:webHidden/>
              </w:rPr>
              <w:t>3</w:t>
            </w:r>
            <w:r w:rsidR="00A91B59">
              <w:rPr>
                <w:noProof/>
                <w:webHidden/>
              </w:rPr>
              <w:fldChar w:fldCharType="end"/>
            </w:r>
          </w:hyperlink>
        </w:p>
        <w:p w14:paraId="7046C77A" w14:textId="2B7E7BF1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79" w:history="1">
            <w:r w:rsidRPr="002A1CD1">
              <w:rPr>
                <w:rStyle w:val="Hyperlink"/>
                <w:noProof/>
              </w:rPr>
              <w:t>High-level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8C2D" w14:textId="082F4FBC" w:rsidR="00A91B59" w:rsidRDefault="00A91B59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0" w:history="1"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Quantum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9A19" w14:textId="55564A72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1" w:history="1">
            <w:r w:rsidRPr="002A1CD1">
              <w:rPr>
                <w:rStyle w:val="Hyperlink"/>
                <w:noProof/>
              </w:rPr>
              <w:t>Step 1 – Mean-variance problem formulation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A5AC" w14:textId="53D7E501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2" w:history="1">
            <w:r w:rsidRPr="002A1CD1">
              <w:rPr>
                <w:rStyle w:val="Hyperlink"/>
                <w:noProof/>
              </w:rPr>
              <w:t>Step 2 – QUBO and Ising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833E" w14:textId="74217E5D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3" w:history="1">
            <w:r w:rsidRPr="002A1CD1">
              <w:rPr>
                <w:rStyle w:val="Hyperlink"/>
                <w:noProof/>
              </w:rPr>
              <w:t>Step 3 – QAOA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8723" w14:textId="5E68756A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4" w:history="1">
            <w:r w:rsidRPr="002A1CD1">
              <w:rPr>
                <w:rStyle w:val="Hyperlink"/>
                <w:noProof/>
              </w:rPr>
              <w:t>The quantum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D2A98" w14:textId="42BA66CA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5" w:history="1">
            <w:r w:rsidRPr="002A1CD1">
              <w:rPr>
                <w:rStyle w:val="Hyperlink"/>
                <w:noProof/>
              </w:rPr>
              <w:t>Error correction, mitigation and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80419" w14:textId="7924B65B" w:rsidR="00A91B59" w:rsidRDefault="00A91B59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6" w:history="1"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Quantum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22F17" w14:textId="6697C228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7" w:history="1">
            <w:r w:rsidRPr="002A1CD1">
              <w:rPr>
                <w:rStyle w:val="Hyperlink"/>
                <w:noProof/>
              </w:rPr>
              <w:t>Backtest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506E" w14:textId="14B7DD6B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8" w:history="1">
            <w:r w:rsidRPr="002A1CD1">
              <w:rPr>
                <w:rStyle w:val="Hyperlink"/>
                <w:noProof/>
              </w:rPr>
              <w:t>Performance metrics –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8C51" w14:textId="1C8AE96E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89" w:history="1">
            <w:r w:rsidRPr="002A1CD1">
              <w:rPr>
                <w:rStyle w:val="Hyperlink"/>
                <w:noProof/>
              </w:rPr>
              <w:t>Solution quality: QAOA vs the exact optimum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B8C0" w14:textId="1B6AF476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0" w:history="1">
            <w:r w:rsidRPr="002A1CD1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4F80" w14:textId="01DB637D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1" w:history="1">
            <w:r w:rsidRPr="002A1CD1">
              <w:rPr>
                <w:rStyle w:val="Hyperlink"/>
                <w:noProof/>
              </w:rPr>
              <w:t>What each engine chose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D2B7" w14:textId="69A48E61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2" w:history="1">
            <w:r w:rsidRPr="002A1CD1">
              <w:rPr>
                <w:rStyle w:val="Hyperlink"/>
                <w:noProof/>
              </w:rPr>
              <w:t>Why quantum is the right long-term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A201" w14:textId="69367DF9" w:rsidR="00A91B59" w:rsidRDefault="00A91B59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3" w:history="1"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Commercial Cost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CCF1" w14:textId="0C3087A6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4" w:history="1">
            <w:r w:rsidRPr="002A1CD1">
              <w:rPr>
                <w:rStyle w:val="Hyperlink"/>
                <w:noProof/>
              </w:rPr>
              <w:t>Total cost of ownership (indicative)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0575" w14:textId="2BF1FE9D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5" w:history="1">
            <w:r w:rsidRPr="002A1CD1">
              <w:rPr>
                <w:rStyle w:val="Hyperlink"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0D0F" w14:textId="04FB814A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6" w:history="1">
            <w:r w:rsidRPr="002A1CD1">
              <w:rPr>
                <w:rStyle w:val="Hyperlink"/>
                <w:noProof/>
              </w:rPr>
              <w:t>Break-even and cost-benefit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AABA" w14:textId="51C68237" w:rsidR="00A91B59" w:rsidRDefault="00A91B59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7" w:history="1"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Risks and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76D7" w14:textId="52BCC67B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8" w:history="1">
            <w:r w:rsidRPr="002A1CD1">
              <w:rPr>
                <w:rStyle w:val="Hyperlink"/>
                <w:noProof/>
              </w:rPr>
              <w:t>Technical and implementation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E4B5" w14:textId="27E14C5F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499" w:history="1">
            <w:r w:rsidRPr="002A1CD1">
              <w:rPr>
                <w:rStyle w:val="Hyperlink"/>
                <w:noProof/>
              </w:rPr>
              <w:t>Model stability and robustness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BBFC" w14:textId="50308FA5" w:rsidR="00A91B59" w:rsidRDefault="00A91B59">
          <w:pPr>
            <w:pStyle w:val="TOC2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500" w:history="1">
            <w:r w:rsidRPr="002A1CD1">
              <w:rPr>
                <w:rStyle w:val="Hyperlink"/>
                <w:noProof/>
              </w:rPr>
              <w:t>Risk to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9047" w14:textId="0E33A2DD" w:rsidR="00A91B59" w:rsidRDefault="00A91B59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501" w:history="1"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SG"/>
                <w14:ligatures w14:val="standardContextual"/>
              </w:rPr>
              <w:tab/>
            </w:r>
            <w:r w:rsidRPr="002A1CD1">
              <w:rPr>
                <w:rStyle w:val="Hyperlink"/>
                <w:rFonts w:ascii="Arial" w:eastAsia="Arial" w:hAnsi="Arial" w:cs="Arial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FCEA" w14:textId="6BDF1F2A" w:rsidR="00A91B59" w:rsidRDefault="00A91B5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SG"/>
              <w14:ligatures w14:val="standardContextual"/>
            </w:rPr>
          </w:pPr>
          <w:hyperlink w:anchor="_Toc234007502" w:history="1">
            <w:r w:rsidRPr="002A1CD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_Toc234007502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876A" w14:textId="40466012" w:rsidR="00B80AB2" w:rsidRDefault="00000000">
          <w:pPr>
            <w:tabs>
              <w:tab w:val="right" w:pos="10465"/>
            </w:tabs>
            <w:spacing w:before="200" w:after="8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end"/>
          </w:r>
        </w:p>
      </w:sdtContent>
    </w:sdt>
    <w:p w14:paraId="7EED876B" w14:textId="77777777" w:rsidR="00B80AB2" w:rsidRDefault="00B80AB2">
      <w:pPr>
        <w:spacing w:line="257" w:lineRule="auto"/>
        <w:rPr>
          <w:rFonts w:ascii="Arial Narrow" w:eastAsia="Arial Narrow" w:hAnsi="Arial Narrow" w:cs="Arial Narrow"/>
          <w:sz w:val="24"/>
          <w:szCs w:val="24"/>
        </w:rPr>
      </w:pPr>
    </w:p>
    <w:p w14:paraId="7EED876C" w14:textId="77777777" w:rsidR="00B80AB2" w:rsidRDefault="00000000">
      <w:pPr>
        <w:rPr>
          <w:rFonts w:ascii="Arial Narrow" w:eastAsia="Arial Narrow" w:hAnsi="Arial Narrow" w:cs="Arial Narrow"/>
          <w:sz w:val="24"/>
          <w:szCs w:val="24"/>
        </w:rPr>
      </w:pPr>
      <w:r>
        <w:br w:type="page"/>
      </w:r>
    </w:p>
    <w:p w14:paraId="7EED876D" w14:textId="77777777" w:rsidR="00B80AB2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b/>
          <w:sz w:val="28"/>
          <w:szCs w:val="28"/>
        </w:rPr>
      </w:pPr>
      <w:bookmarkStart w:id="2" w:name="_Toc234007478"/>
      <w:r>
        <w:rPr>
          <w:rFonts w:ascii="Arial" w:eastAsia="Arial" w:hAnsi="Arial" w:cs="Arial"/>
          <w:b/>
          <w:sz w:val="28"/>
          <w:szCs w:val="28"/>
        </w:rPr>
        <w:lastRenderedPageBreak/>
        <w:t>Technical Solution Overview</w:t>
      </w:r>
      <w:bookmarkEnd w:id="2"/>
    </w:p>
    <w:p w14:paraId="7EED876E" w14:textId="77777777" w:rsidR="00B80AB2" w:rsidRDefault="00000000">
      <w:r>
        <w:t>This solution automates tactical asset allocation: every month it selects a diversified sub-portfolio from a multi-asset ETF universe. From eight ETFs spanning the major asset classes, the engine chooses exactly four assets to hold (equal-weighted) until the next rebalance. Choosing B assets from N is a cardinality-constrained combinatorial optimisation – the class of problem the quantum algorithm targets.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2295"/>
        <w:gridCol w:w="2194"/>
        <w:gridCol w:w="2334"/>
      </w:tblGrid>
      <w:tr w:rsidR="00B80AB2" w14:paraId="7EED8773" w14:textId="77777777">
        <w:tc>
          <w:tcPr>
            <w:tcW w:w="2616" w:type="dxa"/>
          </w:tcPr>
          <w:p w14:paraId="7EED876F" w14:textId="77777777" w:rsidR="00B80AB2" w:rsidRDefault="00000000">
            <w:r>
              <w:rPr>
                <w:b/>
              </w:rPr>
              <w:t>Ticker</w:t>
            </w:r>
          </w:p>
        </w:tc>
        <w:tc>
          <w:tcPr>
            <w:tcW w:w="2616" w:type="dxa"/>
          </w:tcPr>
          <w:p w14:paraId="7EED8770" w14:textId="77777777" w:rsidR="00B80AB2" w:rsidRDefault="00000000">
            <w:r>
              <w:rPr>
                <w:b/>
              </w:rPr>
              <w:t>Exposure</w:t>
            </w:r>
          </w:p>
        </w:tc>
        <w:tc>
          <w:tcPr>
            <w:tcW w:w="2616" w:type="dxa"/>
          </w:tcPr>
          <w:p w14:paraId="7EED8771" w14:textId="77777777" w:rsidR="00B80AB2" w:rsidRDefault="00000000">
            <w:r>
              <w:rPr>
                <w:b/>
              </w:rPr>
              <w:t>Ticker</w:t>
            </w:r>
          </w:p>
        </w:tc>
        <w:tc>
          <w:tcPr>
            <w:tcW w:w="2616" w:type="dxa"/>
          </w:tcPr>
          <w:p w14:paraId="7EED8772" w14:textId="77777777" w:rsidR="00B80AB2" w:rsidRDefault="00000000">
            <w:r>
              <w:rPr>
                <w:b/>
              </w:rPr>
              <w:t>Exposure</w:t>
            </w:r>
          </w:p>
        </w:tc>
      </w:tr>
      <w:tr w:rsidR="00B80AB2" w14:paraId="7EED8778" w14:textId="77777777">
        <w:tc>
          <w:tcPr>
            <w:tcW w:w="2616" w:type="dxa"/>
          </w:tcPr>
          <w:p w14:paraId="7EED8774" w14:textId="77777777" w:rsidR="00B80AB2" w:rsidRDefault="00000000">
            <w:r>
              <w:t>SPY</w:t>
            </w:r>
          </w:p>
        </w:tc>
        <w:tc>
          <w:tcPr>
            <w:tcW w:w="2616" w:type="dxa"/>
          </w:tcPr>
          <w:p w14:paraId="7EED8775" w14:textId="77777777" w:rsidR="00B80AB2" w:rsidRDefault="00000000">
            <w:r>
              <w:t>US large-cap equity</w:t>
            </w:r>
          </w:p>
        </w:tc>
        <w:tc>
          <w:tcPr>
            <w:tcW w:w="2616" w:type="dxa"/>
          </w:tcPr>
          <w:p w14:paraId="7EED8776" w14:textId="77777777" w:rsidR="00B80AB2" w:rsidRDefault="00000000">
            <w:r>
              <w:t>LQD</w:t>
            </w:r>
          </w:p>
        </w:tc>
        <w:tc>
          <w:tcPr>
            <w:tcW w:w="2616" w:type="dxa"/>
          </w:tcPr>
          <w:p w14:paraId="7EED8777" w14:textId="77777777" w:rsidR="00B80AB2" w:rsidRDefault="00000000">
            <w:r>
              <w:t>Investment-grade credit</w:t>
            </w:r>
          </w:p>
        </w:tc>
      </w:tr>
      <w:tr w:rsidR="00B80AB2" w14:paraId="7EED877D" w14:textId="77777777">
        <w:tc>
          <w:tcPr>
            <w:tcW w:w="2616" w:type="dxa"/>
          </w:tcPr>
          <w:p w14:paraId="7EED8779" w14:textId="77777777" w:rsidR="00B80AB2" w:rsidRDefault="00000000">
            <w:r>
              <w:t>QQQ</w:t>
            </w:r>
          </w:p>
        </w:tc>
        <w:tc>
          <w:tcPr>
            <w:tcW w:w="2616" w:type="dxa"/>
          </w:tcPr>
          <w:p w14:paraId="7EED877A" w14:textId="77777777" w:rsidR="00B80AB2" w:rsidRDefault="00000000">
            <w:r>
              <w:t>US growth / technology</w:t>
            </w:r>
          </w:p>
        </w:tc>
        <w:tc>
          <w:tcPr>
            <w:tcW w:w="2616" w:type="dxa"/>
          </w:tcPr>
          <w:p w14:paraId="7EED877B" w14:textId="77777777" w:rsidR="00B80AB2" w:rsidRDefault="00000000">
            <w:r>
              <w:t>TLT</w:t>
            </w:r>
          </w:p>
        </w:tc>
        <w:tc>
          <w:tcPr>
            <w:tcW w:w="2616" w:type="dxa"/>
          </w:tcPr>
          <w:p w14:paraId="7EED877C" w14:textId="77777777" w:rsidR="00B80AB2" w:rsidRDefault="00000000">
            <w:r>
              <w:t>Long-dated Treasuries</w:t>
            </w:r>
          </w:p>
        </w:tc>
      </w:tr>
      <w:tr w:rsidR="00B80AB2" w14:paraId="7EED8782" w14:textId="77777777">
        <w:tc>
          <w:tcPr>
            <w:tcW w:w="2616" w:type="dxa"/>
          </w:tcPr>
          <w:p w14:paraId="7EED877E" w14:textId="77777777" w:rsidR="00B80AB2" w:rsidRDefault="00000000">
            <w:r>
              <w:t>EFA</w:t>
            </w:r>
          </w:p>
        </w:tc>
        <w:tc>
          <w:tcPr>
            <w:tcW w:w="2616" w:type="dxa"/>
          </w:tcPr>
          <w:p w14:paraId="7EED877F" w14:textId="77777777" w:rsidR="00B80AB2" w:rsidRDefault="00000000">
            <w:r>
              <w:t>Developed intl. equity</w:t>
            </w:r>
          </w:p>
        </w:tc>
        <w:tc>
          <w:tcPr>
            <w:tcW w:w="2616" w:type="dxa"/>
          </w:tcPr>
          <w:p w14:paraId="7EED8780" w14:textId="77777777" w:rsidR="00B80AB2" w:rsidRDefault="00000000">
            <w:r>
              <w:t>GLD</w:t>
            </w:r>
          </w:p>
        </w:tc>
        <w:tc>
          <w:tcPr>
            <w:tcW w:w="2616" w:type="dxa"/>
          </w:tcPr>
          <w:p w14:paraId="7EED8781" w14:textId="77777777" w:rsidR="00B80AB2" w:rsidRDefault="00000000">
            <w:r>
              <w:t>Gold</w:t>
            </w:r>
          </w:p>
        </w:tc>
      </w:tr>
      <w:tr w:rsidR="00B80AB2" w14:paraId="7EED8787" w14:textId="77777777">
        <w:tc>
          <w:tcPr>
            <w:tcW w:w="2616" w:type="dxa"/>
          </w:tcPr>
          <w:p w14:paraId="7EED8783" w14:textId="77777777" w:rsidR="00B80AB2" w:rsidRDefault="00000000">
            <w:r>
              <w:t>EEM</w:t>
            </w:r>
          </w:p>
        </w:tc>
        <w:tc>
          <w:tcPr>
            <w:tcW w:w="2616" w:type="dxa"/>
          </w:tcPr>
          <w:p w14:paraId="7EED8784" w14:textId="77777777" w:rsidR="00B80AB2" w:rsidRDefault="00000000">
            <w:r>
              <w:t>Emerging-market equity</w:t>
            </w:r>
          </w:p>
        </w:tc>
        <w:tc>
          <w:tcPr>
            <w:tcW w:w="2616" w:type="dxa"/>
          </w:tcPr>
          <w:p w14:paraId="7EED8785" w14:textId="77777777" w:rsidR="00B80AB2" w:rsidRDefault="00000000">
            <w:r>
              <w:t>DBC</w:t>
            </w:r>
          </w:p>
        </w:tc>
        <w:tc>
          <w:tcPr>
            <w:tcW w:w="2616" w:type="dxa"/>
          </w:tcPr>
          <w:p w14:paraId="7EED8786" w14:textId="77777777" w:rsidR="00B80AB2" w:rsidRDefault="00000000">
            <w:r>
              <w:t>Broad commodities</w:t>
            </w:r>
          </w:p>
        </w:tc>
      </w:tr>
    </w:tbl>
    <w:p w14:paraId="7EED8788" w14:textId="77777777" w:rsidR="00B80AB2" w:rsidRDefault="00000000">
      <w:r>
        <w:t>Business-case link: as the investable universe and the number of real-world constraints grow, the count of candidate portfolios explodes and classical optimisers struggle. The goal is better risk-adjusted returns and the ability to optimise large, constraint-rich portfolios that are intractable for exact classical methods. The proof of concept (PoC) implements the full pipeline and benchmarks the quantum engine against a classical machine-learning challenger and two passive benchmarks over roughly ten years</w:t>
      </w:r>
      <w:r>
        <w:t xml:space="preserve"> of monthly data.</w:t>
      </w:r>
    </w:p>
    <w:p w14:paraId="7EED8789" w14:textId="77777777" w:rsidR="00B80AB2" w:rsidRDefault="00000000">
      <w:pPr>
        <w:pStyle w:val="Heading2"/>
      </w:pPr>
      <w:bookmarkStart w:id="3" w:name="_Toc234007479"/>
      <w:r>
        <w:t>High-level system architecture</w:t>
      </w:r>
      <w:bookmarkEnd w:id="3"/>
    </w:p>
    <w:p w14:paraId="7EED878A" w14:textId="77777777" w:rsidR="00B80AB2" w:rsidRDefault="00000000">
      <w:r>
        <w:t>•  Data layer (portfolio_utils.py): downloads and caches monthly total-return series for the eight ETFs and computes the performance metrics.</w:t>
      </w:r>
    </w:p>
    <w:p w14:paraId="7EED878B" w14:textId="77777777" w:rsidR="00B80AB2" w:rsidRDefault="00000000">
      <w:r>
        <w:t>•  Model layer: at each rebalance a trailing 36-month window estimates the expected-return vector μ and covariance matrix Σ, which define the optimisation problem.</w:t>
      </w:r>
    </w:p>
    <w:p w14:paraId="7EED878C" w14:textId="77777777" w:rsidR="00B80AB2" w:rsidRDefault="00000000">
      <w:r>
        <w:t xml:space="preserve">•  Quantum solver (quantum_portfolio_qaoa.py): the problem is mapped to a QUBO / Ising Hamiltonian and solved with QAOA; a classical optimiser (COBYLA) tunes the circuit parameters in a hybrid loop, and a classical exact </w:t>
      </w:r>
      <w:proofErr w:type="spellStart"/>
      <w:r>
        <w:t>eigensolver</w:t>
      </w:r>
      <w:proofErr w:type="spellEnd"/>
      <w:r>
        <w:t xml:space="preserve"> validates every solution.</w:t>
      </w:r>
    </w:p>
    <w:p w14:paraId="6C270A21" w14:textId="678EC6D2" w:rsidR="00584109" w:rsidRDefault="00000000">
      <w:r>
        <w:t>•  Application layer (</w:t>
      </w:r>
      <w:proofErr w:type="spellStart"/>
      <w:proofErr w:type="gramStart"/>
      <w:r>
        <w:t>comparison.ipynb</w:t>
      </w:r>
      <w:proofErr w:type="spellEnd"/>
      <w:proofErr w:type="gramEnd"/>
      <w:r>
        <w:t xml:space="preserve">): holds the selected assets, rolls the walk-forward </w:t>
      </w:r>
      <w:proofErr w:type="spellStart"/>
      <w:r>
        <w:t>backtest</w:t>
      </w:r>
      <w:proofErr w:type="spellEnd"/>
      <w:r>
        <w:t xml:space="preserve"> and compares all strategies. Only the solver call uses quantum hardware, so the architecture is unchanged at scale.</w:t>
      </w:r>
    </w:p>
    <w:p w14:paraId="7EED878E" w14:textId="77777777" w:rsidR="00B80AB2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b/>
          <w:sz w:val="28"/>
          <w:szCs w:val="28"/>
        </w:rPr>
      </w:pPr>
      <w:bookmarkStart w:id="4" w:name="_Toc234007480"/>
      <w:r>
        <w:rPr>
          <w:rFonts w:ascii="Arial" w:eastAsia="Arial" w:hAnsi="Arial" w:cs="Arial"/>
          <w:b/>
          <w:sz w:val="28"/>
          <w:szCs w:val="28"/>
        </w:rPr>
        <w:t>Quantum algorithms</w:t>
      </w:r>
      <w:bookmarkEnd w:id="4"/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7EED878F" w14:textId="77777777" w:rsidR="00B80AB2" w:rsidRDefault="00000000">
      <w:pPr>
        <w:pStyle w:val="Heading2"/>
      </w:pPr>
      <w:bookmarkStart w:id="5" w:name="_Toc234007481"/>
      <w:r>
        <w:t>Step 1 – Mean-variance problem formulation</w:t>
      </w:r>
      <w:bookmarkEnd w:id="5"/>
    </w:p>
    <w:p w14:paraId="7EED8790" w14:textId="77777777" w:rsidR="00B80AB2" w:rsidRDefault="00000000">
      <w:r>
        <w:t>Each asset i carries a binary decision variable x</w:t>
      </w:r>
      <w:r>
        <w:t>ᵢ</w:t>
      </w:r>
      <w:r>
        <w:t xml:space="preserve"> ∈ {0,1} (1 if the asset is held). The monthly decision minimises a mean-variance objective subject to a cardinality (budget) constraint:</w:t>
      </w:r>
    </w:p>
    <w:p w14:paraId="7EED8791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49" wp14:editId="7EED884A">
            <wp:extent cx="4937760" cy="11475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probl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92" w14:textId="77777777" w:rsidR="00B80AB2" w:rsidRDefault="00000000">
      <w:pPr>
        <w:pStyle w:val="Caption"/>
        <w:jc w:val="center"/>
      </w:pPr>
      <w:r>
        <w:t>Figure 1. The asset-selection objective and budget constraint.</w:t>
      </w:r>
    </w:p>
    <w:p w14:paraId="7EED8793" w14:textId="77777777" w:rsidR="00B80AB2" w:rsidRDefault="00000000">
      <w:r>
        <w:lastRenderedPageBreak/>
        <w:t>Symbols: μ is the vector of expected (mean) monthly returns and Σ the return covariance matrix, both estimated over the trailing 36-month window; q is the risk-aversion coefficient (q = 1.0); and B = 4 is the number of assets to hold. The term −</w:t>
      </w:r>
      <w:proofErr w:type="spellStart"/>
      <w:r>
        <w:t>μ</w:t>
      </w:r>
      <w:r>
        <w:t>ᵀ</w:t>
      </w:r>
      <w:r>
        <w:t>x</w:t>
      </w:r>
      <w:proofErr w:type="spellEnd"/>
      <w:r>
        <w:t xml:space="preserve"> rewards expected return, while </w:t>
      </w:r>
      <w:proofErr w:type="spellStart"/>
      <w:r>
        <w:t>q·x</w:t>
      </w:r>
      <w:r>
        <w:t>ᵀ</w:t>
      </w:r>
      <w:r>
        <w:t>Σx</w:t>
      </w:r>
      <w:proofErr w:type="spellEnd"/>
      <w:r>
        <w:t xml:space="preserve"> penalises portfolio variance and rewards diversification through the off-diagonal covariances.</w:t>
      </w:r>
    </w:p>
    <w:p w14:paraId="7EED8794" w14:textId="77777777" w:rsidR="00B80AB2" w:rsidRDefault="00000000">
      <w:pPr>
        <w:pStyle w:val="Heading2"/>
      </w:pPr>
      <w:bookmarkStart w:id="6" w:name="_Toc234007482"/>
      <w:r>
        <w:t>Step 2 – QUBO and Ising mapping</w:t>
      </w:r>
      <w:bookmarkEnd w:id="6"/>
    </w:p>
    <w:p w14:paraId="7EED8795" w14:textId="77777777" w:rsidR="00B80AB2" w:rsidRDefault="00000000">
      <w:r>
        <w:t>The equality constraint is folded into the objective as a quadratic penalty (weight λ), giving an unconstrained binary problem (a QUBO). Substituting x</w:t>
      </w:r>
      <w:r>
        <w:t>ᵢ</w:t>
      </w:r>
      <w:r>
        <w:t xml:space="preserve"> = (1 − Z</w:t>
      </w:r>
      <w:r>
        <w:t>ᵢ</w:t>
      </w:r>
      <w:r>
        <w:t>)/2 maps the QUBO onto an Ising cost Hamiltonian H_C whose ground state encodes the optimal portfolio:</w:t>
      </w:r>
    </w:p>
    <w:p w14:paraId="7EED8796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4B" wp14:editId="7EED884C">
            <wp:extent cx="5486400" cy="1275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qub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97" w14:textId="77777777" w:rsidR="00B80AB2" w:rsidRDefault="00000000">
      <w:pPr>
        <w:pStyle w:val="Caption"/>
        <w:jc w:val="center"/>
      </w:pPr>
      <w:r>
        <w:t>Figure 2. Penalised QUBO and its mapping to an Ising Hamiltonian.</w:t>
      </w:r>
    </w:p>
    <w:p w14:paraId="7EED8798" w14:textId="77777777" w:rsidR="00B80AB2" w:rsidRDefault="00000000">
      <w:r>
        <w:t>Here Z</w:t>
      </w:r>
      <w:r>
        <w:t>ᵢ</w:t>
      </w:r>
      <w:r>
        <w:t xml:space="preserve"> is the Pauli-Z operator on qubit i, h</w:t>
      </w:r>
      <w:r>
        <w:t>ᵢ</w:t>
      </w:r>
      <w:r>
        <w:t xml:space="preserve"> are the local fields (from the linear −μ and penalty terms) and J</w:t>
      </w:r>
      <w:r>
        <w:t>ᵢⱼ</w:t>
      </w:r>
      <w:r>
        <w:t xml:space="preserve"> are the pairwise couplings (from Σ and the penalty). Because the covariance matrix is dense, every asset pair couples – giving a fully connected interaction graph.</w:t>
      </w:r>
    </w:p>
    <w:p w14:paraId="7EED8799" w14:textId="77777777" w:rsidR="00B80AB2" w:rsidRDefault="00000000">
      <w:pPr>
        <w:pStyle w:val="Heading2"/>
      </w:pPr>
      <w:bookmarkStart w:id="7" w:name="_Toc234007483"/>
      <w:r>
        <w:t>Step 3 – QAOA</w:t>
      </w:r>
      <w:bookmarkEnd w:id="7"/>
    </w:p>
    <w:p w14:paraId="7EED879A" w14:textId="77777777" w:rsidR="00B80AB2" w:rsidRDefault="00000000">
      <w:r>
        <w:t>QAOA is a hybrid quantum-classical variational algorithm. Starting from a uniform superposition, it applies p alternating layers of a cost unitary U_C(γ) and a mixer unitary U_M(β); a classical optimiser tunes (γ, β) to minimise the measured energy:</w:t>
      </w:r>
    </w:p>
    <w:p w14:paraId="7EED879B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4D" wp14:editId="7EED884E">
            <wp:extent cx="5303520" cy="20587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qao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9C" w14:textId="77777777" w:rsidR="00B80AB2" w:rsidRDefault="00000000">
      <w:pPr>
        <w:pStyle w:val="Caption"/>
        <w:jc w:val="center"/>
      </w:pPr>
      <w:r>
        <w:t xml:space="preserve">Figure 3. The QAOA ansatz state, its cost / mixer </w:t>
      </w:r>
      <w:proofErr w:type="spellStart"/>
      <w:r>
        <w:t>unitaries</w:t>
      </w:r>
      <w:proofErr w:type="spellEnd"/>
      <w:r>
        <w:t xml:space="preserve"> and the classical objective.</w:t>
      </w:r>
    </w:p>
    <w:p w14:paraId="7EED879D" w14:textId="77777777" w:rsidR="00B80AB2" w:rsidRDefault="00000000">
      <w:r>
        <w:t>U_C applies a Z-rotation R_Z(2γh</w:t>
      </w:r>
      <w:r>
        <w:t>ᵢ</w:t>
      </w:r>
      <w:r>
        <w:t>) per qubit and a two-qubit R_ZZ(2γJ</w:t>
      </w:r>
      <w:r>
        <w:t>ᵢⱼ</w:t>
      </w:r>
      <w:r>
        <w:t>) per coupled pair; U_M applies an X-rotation R_X(2β) per qubit. The PoC uses p = 1 (one layer), 1024 measurement shots and COBYLA (max 80 iterations) with a seeded initial point for reproducibility. After convergence the most probable bitstring is decoded into the selected assets.</w:t>
      </w:r>
    </w:p>
    <w:p w14:paraId="7EED879E" w14:textId="77777777" w:rsidR="00B80AB2" w:rsidRDefault="00000000">
      <w:pPr>
        <w:pStyle w:val="Heading2"/>
      </w:pPr>
      <w:bookmarkStart w:id="8" w:name="_Toc234007484"/>
      <w:r>
        <w:t>The quantum circuit</w:t>
      </w:r>
      <w:bookmarkEnd w:id="8"/>
    </w:p>
    <w:p w14:paraId="7EED879F" w14:textId="77777777" w:rsidR="00B80AB2" w:rsidRDefault="00000000">
      <w:r>
        <w:t>With eight ETFs the circuit uses eight qubits. Figure 4 is the actual p = 1 QAOA circuit generated for one rebalance: a Hadamard layer (drawn as U(π/2,</w:t>
      </w:r>
      <w:proofErr w:type="gramStart"/>
      <w:r>
        <w:t>0,π</w:t>
      </w:r>
      <w:proofErr w:type="gramEnd"/>
      <w:r>
        <w:t xml:space="preserve">)) creates the uniform superposition; the cost </w:t>
      </w:r>
      <w:r>
        <w:lastRenderedPageBreak/>
        <w:t>layer applies eight R_Z rotations (each labelled with its real h</w:t>
      </w:r>
      <w:r>
        <w:t>ᵢ</w:t>
      </w:r>
      <w:r>
        <w:t xml:space="preserve"> coefficient) and 28 R_ZZ couplings (labelled with γ); and the mixer layer applies eight R_X(2β) rotations. The two free parameters are γ and β.</w:t>
      </w:r>
    </w:p>
    <w:p w14:paraId="7EED87A0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4F" wp14:editId="7EED8850">
            <wp:extent cx="4206240" cy="8118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_qa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11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A1" w14:textId="77777777" w:rsidR="00B80AB2" w:rsidRDefault="00000000">
      <w:pPr>
        <w:pStyle w:val="Caption"/>
        <w:jc w:val="center"/>
      </w:pPr>
      <w:r>
        <w:lastRenderedPageBreak/>
        <w:t>Figure 4. The actual 8-qubit, p = 1 QAOA circuit for one monthly rebalance (Hadamard layer → R_Z / R_ZZ cost layer → R_X mixer).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3"/>
        <w:gridCol w:w="4433"/>
      </w:tblGrid>
      <w:tr w:rsidR="00B80AB2" w14:paraId="7EED87A4" w14:textId="77777777">
        <w:tc>
          <w:tcPr>
            <w:tcW w:w="5233" w:type="dxa"/>
          </w:tcPr>
          <w:p w14:paraId="7EED87A2" w14:textId="77777777" w:rsidR="00B80AB2" w:rsidRDefault="00000000">
            <w:r>
              <w:rPr>
                <w:b/>
              </w:rPr>
              <w:t>Circuit property</w:t>
            </w:r>
          </w:p>
        </w:tc>
        <w:tc>
          <w:tcPr>
            <w:tcW w:w="5233" w:type="dxa"/>
          </w:tcPr>
          <w:p w14:paraId="7EED87A3" w14:textId="77777777" w:rsidR="00B80AB2" w:rsidRDefault="00000000">
            <w:r>
              <w:rPr>
                <w:b/>
              </w:rPr>
              <w:t>Value</w:t>
            </w:r>
          </w:p>
        </w:tc>
      </w:tr>
      <w:tr w:rsidR="00B80AB2" w14:paraId="7EED87A7" w14:textId="77777777">
        <w:tc>
          <w:tcPr>
            <w:tcW w:w="5233" w:type="dxa"/>
          </w:tcPr>
          <w:p w14:paraId="7EED87A5" w14:textId="77777777" w:rsidR="00B80AB2" w:rsidRDefault="00000000">
            <w:r>
              <w:t>Qubits</w:t>
            </w:r>
          </w:p>
        </w:tc>
        <w:tc>
          <w:tcPr>
            <w:tcW w:w="5233" w:type="dxa"/>
          </w:tcPr>
          <w:p w14:paraId="7EED87A6" w14:textId="77777777" w:rsidR="00B80AB2" w:rsidRDefault="00000000">
            <w:r>
              <w:t>8</w:t>
            </w:r>
          </w:p>
        </w:tc>
      </w:tr>
      <w:tr w:rsidR="00B80AB2" w14:paraId="7EED87AA" w14:textId="77777777">
        <w:tc>
          <w:tcPr>
            <w:tcW w:w="5233" w:type="dxa"/>
          </w:tcPr>
          <w:p w14:paraId="7EED87A8" w14:textId="77777777" w:rsidR="00B80AB2" w:rsidRDefault="00000000">
            <w:r>
              <w:t>Hadamard gates (superposition)</w:t>
            </w:r>
          </w:p>
        </w:tc>
        <w:tc>
          <w:tcPr>
            <w:tcW w:w="5233" w:type="dxa"/>
          </w:tcPr>
          <w:p w14:paraId="7EED87A9" w14:textId="77777777" w:rsidR="00B80AB2" w:rsidRDefault="00000000">
            <w:r>
              <w:t>8</w:t>
            </w:r>
          </w:p>
        </w:tc>
      </w:tr>
      <w:tr w:rsidR="00B80AB2" w14:paraId="7EED87AD" w14:textId="77777777">
        <w:tc>
          <w:tcPr>
            <w:tcW w:w="5233" w:type="dxa"/>
          </w:tcPr>
          <w:p w14:paraId="7EED87AB" w14:textId="77777777" w:rsidR="00B80AB2" w:rsidRDefault="00000000">
            <w:r>
              <w:t>R_Z rotations (linear / local fields)</w:t>
            </w:r>
          </w:p>
        </w:tc>
        <w:tc>
          <w:tcPr>
            <w:tcW w:w="5233" w:type="dxa"/>
          </w:tcPr>
          <w:p w14:paraId="7EED87AC" w14:textId="77777777" w:rsidR="00B80AB2" w:rsidRDefault="00000000">
            <w:r>
              <w:t>8</w:t>
            </w:r>
          </w:p>
        </w:tc>
      </w:tr>
      <w:tr w:rsidR="00B80AB2" w14:paraId="7EED87B0" w14:textId="77777777">
        <w:tc>
          <w:tcPr>
            <w:tcW w:w="5233" w:type="dxa"/>
          </w:tcPr>
          <w:p w14:paraId="7EED87AE" w14:textId="77777777" w:rsidR="00B80AB2" w:rsidRDefault="00000000">
            <w:r>
              <w:t xml:space="preserve">R_ZZ couplings (quadratic = </w:t>
            </w:r>
            <w:proofErr w:type="gramStart"/>
            <w:r>
              <w:t>C(</w:t>
            </w:r>
            <w:proofErr w:type="gramEnd"/>
            <w:r>
              <w:t>8,2))</w:t>
            </w:r>
          </w:p>
        </w:tc>
        <w:tc>
          <w:tcPr>
            <w:tcW w:w="5233" w:type="dxa"/>
          </w:tcPr>
          <w:p w14:paraId="7EED87AF" w14:textId="77777777" w:rsidR="00B80AB2" w:rsidRDefault="00000000">
            <w:r>
              <w:t>28</w:t>
            </w:r>
          </w:p>
        </w:tc>
      </w:tr>
      <w:tr w:rsidR="00B80AB2" w14:paraId="7EED87B3" w14:textId="77777777">
        <w:tc>
          <w:tcPr>
            <w:tcW w:w="5233" w:type="dxa"/>
          </w:tcPr>
          <w:p w14:paraId="7EED87B1" w14:textId="77777777" w:rsidR="00B80AB2" w:rsidRDefault="00000000">
            <w:r>
              <w:t>R_X rotations (mixer)</w:t>
            </w:r>
          </w:p>
        </w:tc>
        <w:tc>
          <w:tcPr>
            <w:tcW w:w="5233" w:type="dxa"/>
          </w:tcPr>
          <w:p w14:paraId="7EED87B2" w14:textId="77777777" w:rsidR="00B80AB2" w:rsidRDefault="00000000">
            <w:r>
              <w:t>8</w:t>
            </w:r>
          </w:p>
        </w:tc>
      </w:tr>
      <w:tr w:rsidR="00B80AB2" w14:paraId="7EED87B6" w14:textId="77777777">
        <w:tc>
          <w:tcPr>
            <w:tcW w:w="5233" w:type="dxa"/>
          </w:tcPr>
          <w:p w14:paraId="7EED87B4" w14:textId="77777777" w:rsidR="00B80AB2" w:rsidRDefault="00000000">
            <w:r>
              <w:t>Variational parameters (γ, β)</w:t>
            </w:r>
          </w:p>
        </w:tc>
        <w:tc>
          <w:tcPr>
            <w:tcW w:w="5233" w:type="dxa"/>
          </w:tcPr>
          <w:p w14:paraId="7EED87B5" w14:textId="77777777" w:rsidR="00B80AB2" w:rsidRDefault="00000000">
            <w:r>
              <w:t>2</w:t>
            </w:r>
          </w:p>
        </w:tc>
      </w:tr>
      <w:tr w:rsidR="00B80AB2" w14:paraId="7EED87B9" w14:textId="77777777">
        <w:tc>
          <w:tcPr>
            <w:tcW w:w="5233" w:type="dxa"/>
          </w:tcPr>
          <w:p w14:paraId="7EED87B7" w14:textId="77777777" w:rsidR="00B80AB2" w:rsidRDefault="00000000">
            <w:r>
              <w:t>Gate-level depth</w:t>
            </w:r>
          </w:p>
        </w:tc>
        <w:tc>
          <w:tcPr>
            <w:tcW w:w="5233" w:type="dxa"/>
          </w:tcPr>
          <w:p w14:paraId="7EED87B8" w14:textId="77777777" w:rsidR="00B80AB2" w:rsidRDefault="00000000">
            <w:r>
              <w:t>16</w:t>
            </w:r>
          </w:p>
        </w:tc>
      </w:tr>
    </w:tbl>
    <w:p w14:paraId="7EED87BA" w14:textId="77777777" w:rsidR="00B80AB2" w:rsidRDefault="00000000">
      <w:r>
        <w:t xml:space="preserve">The 28 R_ZZ couplings equal </w:t>
      </w:r>
      <w:proofErr w:type="gramStart"/>
      <w:r>
        <w:t>C(</w:t>
      </w:r>
      <w:proofErr w:type="gramEnd"/>
      <w:r>
        <w:t>8,2) = 28 – one for every asset pair – because the covariance matrix is fully dense. R_ZZ is not a native hardware gate; it is compiled from two CNOTs and one R_Z, as shown below. This is why dense couplings drive the two-qubit gate count and circuit depth, and why hardware connectivity matters at scale.</w:t>
      </w:r>
    </w:p>
    <w:p w14:paraId="7EED87BB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51" wp14:editId="7EED8852">
            <wp:extent cx="2377440" cy="13646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_zz_ga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6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BC" w14:textId="77777777" w:rsidR="00B80AB2" w:rsidRDefault="00000000">
      <w:pPr>
        <w:pStyle w:val="Caption"/>
        <w:jc w:val="center"/>
      </w:pPr>
      <w:r>
        <w:t>Figure 5. An R_ZZ(2γJ</w:t>
      </w:r>
      <w:r>
        <w:t>ᵢⱼ</w:t>
      </w:r>
      <w:r>
        <w:t>) coupling compiled into CNOT – R_Z – CNOT.</w:t>
      </w:r>
    </w:p>
    <w:p w14:paraId="7EED87BD" w14:textId="77777777" w:rsidR="00B80AB2" w:rsidRDefault="00000000">
      <w:pPr>
        <w:pStyle w:val="Heading2"/>
      </w:pPr>
      <w:bookmarkStart w:id="9" w:name="_Toc234007485"/>
      <w:r>
        <w:t>Error correction, mitigation and hardware</w:t>
      </w:r>
      <w:bookmarkEnd w:id="9"/>
    </w:p>
    <w:p w14:paraId="7EED87BE" w14:textId="77777777" w:rsidR="00B80AB2" w:rsidRDefault="00000000">
      <w:r>
        <w:t>The PoC runs on a noiseless state-vector simulator, so results are exact. On real NISQ hardware, two-qubit gate errors (~10⁻³), readout errors (~10⁻²) and decoherence corrupt the measured energies. Near term, error mitigation (measurement-error mitigation, zero-noise extrapolation, dynamical decoupling) suffices for this shallow eight-qubit circuit. Long term, quantum error correction (surface codes, ~1000 physical qubits per logical qubit) is required as the universe and circuit depth grow. Hardware: the P</w:t>
      </w:r>
      <w:r>
        <w:t xml:space="preserve">oC needs only a workstation and simulator; near-term production uses cloud NISQ QPUs (superconducting </w:t>
      </w:r>
      <w:proofErr w:type="gramStart"/>
      <w:r>
        <w:t>IBM Heron, or</w:t>
      </w:r>
      <w:proofErr w:type="gramEnd"/>
      <w:r>
        <w:t xml:space="preserve"> trapped-ion </w:t>
      </w:r>
      <w:proofErr w:type="spellStart"/>
      <w:r>
        <w:t>IonQ</w:t>
      </w:r>
      <w:proofErr w:type="spellEnd"/>
      <w:r>
        <w:t xml:space="preserve"> / </w:t>
      </w:r>
      <w:proofErr w:type="spellStart"/>
      <w:r>
        <w:t>Quantinuum</w:t>
      </w:r>
      <w:proofErr w:type="spellEnd"/>
      <w:r>
        <w:t xml:space="preserve"> whose all-to-all connectivity suits the dense coupling graph); large, constrained portfolios are the long-term fault-tolerant target.</w:t>
      </w:r>
    </w:p>
    <w:p w14:paraId="4164D51C" w14:textId="77777777" w:rsidR="00584109" w:rsidRDefault="00584109"/>
    <w:p w14:paraId="7EED87BF" w14:textId="77777777" w:rsidR="00B80AB2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b/>
          <w:sz w:val="28"/>
          <w:szCs w:val="28"/>
        </w:rPr>
      </w:pPr>
      <w:bookmarkStart w:id="10" w:name="_Toc234007486"/>
      <w:r>
        <w:rPr>
          <w:rFonts w:ascii="Arial" w:eastAsia="Arial" w:hAnsi="Arial" w:cs="Arial"/>
          <w:b/>
          <w:sz w:val="28"/>
          <w:szCs w:val="28"/>
        </w:rPr>
        <w:t>Quantum Advantages</w:t>
      </w:r>
      <w:bookmarkEnd w:id="10"/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7EED87C0" w14:textId="77777777" w:rsidR="00B80AB2" w:rsidRDefault="00000000">
      <w:pPr>
        <w:pStyle w:val="Heading2"/>
      </w:pPr>
      <w:bookmarkStart w:id="11" w:name="_Toc234007487"/>
      <w:proofErr w:type="spellStart"/>
      <w:r>
        <w:t>Backtest</w:t>
      </w:r>
      <w:proofErr w:type="spellEnd"/>
      <w:r>
        <w:t xml:space="preserve"> methodology</w:t>
      </w:r>
      <w:bookmarkEnd w:id="11"/>
    </w:p>
    <w:p w14:paraId="7EED87C1" w14:textId="77777777" w:rsidR="00B80AB2" w:rsidRDefault="00000000">
      <w:r>
        <w:t xml:space="preserve">All strategies run through one walk-forward </w:t>
      </w:r>
      <w:proofErr w:type="spellStart"/>
      <w:r>
        <w:t>backtest</w:t>
      </w:r>
      <w:proofErr w:type="spellEnd"/>
      <w:r>
        <w:t>: a 36-month trailing window, quarterly rebalancing, and 82 out-of-sample months. There is no look-ahead – each decision uses only past data. Both engines obey the same rule (hold 4 of 8, equal-weighted), so the comparison isolates the selection method. The classical challenger is a Random Forest that predicts each asset's next-month return from momentum and volatility features and holds the top four.</w:t>
      </w:r>
    </w:p>
    <w:p w14:paraId="7EED87C2" w14:textId="77777777" w:rsidR="00B80AB2" w:rsidRDefault="00000000">
      <w:pPr>
        <w:pStyle w:val="Heading2"/>
      </w:pPr>
      <w:bookmarkStart w:id="12" w:name="_Toc234007488"/>
      <w:r>
        <w:t>Performance metrics – definitions</w:t>
      </w:r>
      <w:bookmarkEnd w:id="12"/>
    </w:p>
    <w:p w14:paraId="7EED87C3" w14:textId="77777777" w:rsidR="00B80AB2" w:rsidRDefault="00000000">
      <w:r>
        <w:t xml:space="preserve">Metrics are computed from the monthly strategy returns rₜ (r̄ = mean, </w:t>
      </w:r>
      <w:proofErr w:type="spellStart"/>
      <w:r>
        <w:t>σ_r</w:t>
      </w:r>
      <w:proofErr w:type="spellEnd"/>
      <w:r>
        <w:t xml:space="preserve"> = standard deviation, P = 12 periods/year):</w:t>
      </w:r>
    </w:p>
    <w:p w14:paraId="7EED87C4" w14:textId="77777777" w:rsidR="00B80A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ED8853" wp14:editId="7EED8854">
            <wp:extent cx="5486400" cy="21297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C5" w14:textId="77777777" w:rsidR="00B80AB2" w:rsidRDefault="00000000">
      <w:pPr>
        <w:pStyle w:val="Caption"/>
        <w:jc w:val="center"/>
      </w:pPr>
      <w:r>
        <w:t>Figure 6. Definitions of the performance metrics.</w:t>
      </w:r>
    </w:p>
    <w:p w14:paraId="7EED87C6" w14:textId="77777777" w:rsidR="00B80AB2" w:rsidRDefault="00000000">
      <w:r>
        <w:t xml:space="preserve">•  Annualised return </w:t>
      </w:r>
      <w:proofErr w:type="spellStart"/>
      <w:r>
        <w:t>R_ann</w:t>
      </w:r>
      <w:proofErr w:type="spellEnd"/>
      <w:r>
        <w:t xml:space="preserve"> compounds the mean monthly return to a yearly figure.</w:t>
      </w:r>
    </w:p>
    <w:p w14:paraId="7EED87C7" w14:textId="77777777" w:rsidR="00B80AB2" w:rsidRDefault="00000000">
      <w:r>
        <w:t xml:space="preserve">•  Annualised volatility </w:t>
      </w:r>
      <w:proofErr w:type="spellStart"/>
      <w:r>
        <w:t>σ_ann</w:t>
      </w:r>
      <w:proofErr w:type="spellEnd"/>
      <w:r>
        <w:t xml:space="preserve"> scales the monthly standard deviation by √P.</w:t>
      </w:r>
    </w:p>
    <w:p w14:paraId="7EED87C8" w14:textId="77777777" w:rsidR="00B80AB2" w:rsidRDefault="00000000">
      <w:r>
        <w:t xml:space="preserve">•  Sharpe ratio = excess return over volatility (risk-free rate </w:t>
      </w:r>
      <w:proofErr w:type="spellStart"/>
      <w:r>
        <w:t>r_f</w:t>
      </w:r>
      <w:proofErr w:type="spellEnd"/>
      <w:r>
        <w:t xml:space="preserve"> = 2%); the headline risk-adjusted measure.</w:t>
      </w:r>
    </w:p>
    <w:p w14:paraId="7EED87C9" w14:textId="77777777" w:rsidR="00B80AB2" w:rsidRDefault="00000000">
      <w:r>
        <w:t>•  Maximum drawdown (</w:t>
      </w:r>
      <w:proofErr w:type="spellStart"/>
      <w:r>
        <w:t>MaxDD</w:t>
      </w:r>
      <w:proofErr w:type="spellEnd"/>
      <w:r>
        <w:t>) is the worst peak-to-trough fall of the cumulative wealth curve Wₜ.</w:t>
      </w:r>
    </w:p>
    <w:p w14:paraId="7EED87CA" w14:textId="77777777" w:rsidR="00B80AB2" w:rsidRDefault="00000000">
      <w:r>
        <w:t>•  Calmar ratio = annualised return divided by the absolute maximum drawdown.</w:t>
      </w:r>
    </w:p>
    <w:p w14:paraId="08E70622" w14:textId="77777777" w:rsidR="00584109" w:rsidRDefault="00584109">
      <w:pPr>
        <w:pStyle w:val="Heading2"/>
      </w:pPr>
    </w:p>
    <w:p w14:paraId="7EED87CB" w14:textId="0D797E18" w:rsidR="00B80AB2" w:rsidRDefault="00000000">
      <w:pPr>
        <w:pStyle w:val="Heading2"/>
      </w:pPr>
      <w:bookmarkStart w:id="13" w:name="_Toc234007489"/>
      <w:r>
        <w:t>Solution quality: QAOA vs the exact optimum</w:t>
      </w:r>
      <w:bookmarkEnd w:id="13"/>
    </w:p>
    <w:p w14:paraId="7EED87CC" w14:textId="77777777" w:rsidR="00B80AB2" w:rsidRDefault="00000000">
      <w:r>
        <w:t xml:space="preserve">Because eight qubits </w:t>
      </w:r>
      <w:proofErr w:type="gramStart"/>
      <w:r>
        <w:t>is</w:t>
      </w:r>
      <w:proofErr w:type="gramEnd"/>
      <w:r>
        <w:t xml:space="preserve"> small, a classical exact </w:t>
      </w:r>
      <w:proofErr w:type="spellStart"/>
      <w:r>
        <w:t>eigensolver</w:t>
      </w:r>
      <w:proofErr w:type="spellEnd"/>
      <w:r>
        <w:t xml:space="preserve"> finds the true optimum and serves as ground truth. Across all 28 rebalances the QAOA circuit reproduced the exact optimal asset subset every time (match rate = 1.00, mean optimality gap = 0.0), validating the QUBO mapping, the circuit and the optimisation loop.</w:t>
      </w:r>
    </w:p>
    <w:p w14:paraId="1EB627BD" w14:textId="77777777" w:rsidR="00584109" w:rsidRDefault="00584109"/>
    <w:p w14:paraId="7EED87CD" w14:textId="77777777" w:rsidR="00B80AB2" w:rsidRDefault="00000000">
      <w:pPr>
        <w:pStyle w:val="Heading2"/>
      </w:pPr>
      <w:bookmarkStart w:id="14" w:name="_Toc234007490"/>
      <w:r>
        <w:t>Results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475"/>
        <w:gridCol w:w="1452"/>
        <w:gridCol w:w="1478"/>
        <w:gridCol w:w="1589"/>
        <w:gridCol w:w="1481"/>
      </w:tblGrid>
      <w:tr w:rsidR="00B80AB2" w14:paraId="7EED87D4" w14:textId="77777777">
        <w:tc>
          <w:tcPr>
            <w:tcW w:w="1744" w:type="dxa"/>
          </w:tcPr>
          <w:p w14:paraId="7EED87CE" w14:textId="77777777" w:rsidR="00B80AB2" w:rsidRDefault="00000000">
            <w:r>
              <w:rPr>
                <w:b/>
              </w:rPr>
              <w:t>Strategy</w:t>
            </w:r>
          </w:p>
        </w:tc>
        <w:tc>
          <w:tcPr>
            <w:tcW w:w="1744" w:type="dxa"/>
          </w:tcPr>
          <w:p w14:paraId="7EED87CF" w14:textId="77777777" w:rsidR="00B80AB2" w:rsidRDefault="00000000">
            <w:r>
              <w:rPr>
                <w:b/>
              </w:rPr>
              <w:t>Ann. Return</w:t>
            </w:r>
          </w:p>
        </w:tc>
        <w:tc>
          <w:tcPr>
            <w:tcW w:w="1744" w:type="dxa"/>
          </w:tcPr>
          <w:p w14:paraId="7EED87D0" w14:textId="77777777" w:rsidR="00B80AB2" w:rsidRDefault="00000000">
            <w:r>
              <w:rPr>
                <w:b/>
              </w:rPr>
              <w:t>Ann. Vol</w:t>
            </w:r>
          </w:p>
        </w:tc>
        <w:tc>
          <w:tcPr>
            <w:tcW w:w="1744" w:type="dxa"/>
          </w:tcPr>
          <w:p w14:paraId="7EED87D1" w14:textId="77777777" w:rsidR="00B80AB2" w:rsidRDefault="00000000">
            <w:r>
              <w:rPr>
                <w:b/>
              </w:rPr>
              <w:t>Sharpe</w:t>
            </w:r>
          </w:p>
        </w:tc>
        <w:tc>
          <w:tcPr>
            <w:tcW w:w="1744" w:type="dxa"/>
          </w:tcPr>
          <w:p w14:paraId="7EED87D2" w14:textId="77777777" w:rsidR="00B80AB2" w:rsidRDefault="00000000">
            <w:r>
              <w:rPr>
                <w:b/>
              </w:rPr>
              <w:t>Max Drawdown</w:t>
            </w:r>
          </w:p>
        </w:tc>
        <w:tc>
          <w:tcPr>
            <w:tcW w:w="1744" w:type="dxa"/>
          </w:tcPr>
          <w:p w14:paraId="7EED87D3" w14:textId="77777777" w:rsidR="00B80AB2" w:rsidRDefault="00000000">
            <w:r>
              <w:rPr>
                <w:b/>
              </w:rPr>
              <w:t>Calmar</w:t>
            </w:r>
          </w:p>
        </w:tc>
      </w:tr>
      <w:tr w:rsidR="00B80AB2" w14:paraId="7EED87DB" w14:textId="77777777">
        <w:tc>
          <w:tcPr>
            <w:tcW w:w="1744" w:type="dxa"/>
          </w:tcPr>
          <w:p w14:paraId="7EED87D5" w14:textId="77777777" w:rsidR="00B80AB2" w:rsidRDefault="00000000">
            <w:r>
              <w:t>QAOA Quantum</w:t>
            </w:r>
          </w:p>
        </w:tc>
        <w:tc>
          <w:tcPr>
            <w:tcW w:w="1744" w:type="dxa"/>
          </w:tcPr>
          <w:p w14:paraId="7EED87D6" w14:textId="77777777" w:rsidR="00B80AB2" w:rsidRDefault="00000000">
            <w:r>
              <w:t>9.8%</w:t>
            </w:r>
          </w:p>
        </w:tc>
        <w:tc>
          <w:tcPr>
            <w:tcW w:w="1744" w:type="dxa"/>
          </w:tcPr>
          <w:p w14:paraId="7EED87D7" w14:textId="77777777" w:rsidR="00B80AB2" w:rsidRDefault="00000000">
            <w:r>
              <w:t>11.3%</w:t>
            </w:r>
          </w:p>
        </w:tc>
        <w:tc>
          <w:tcPr>
            <w:tcW w:w="1744" w:type="dxa"/>
          </w:tcPr>
          <w:p w14:paraId="7EED87D8" w14:textId="77777777" w:rsidR="00B80AB2" w:rsidRDefault="00000000">
            <w:r>
              <w:t>0.69</w:t>
            </w:r>
          </w:p>
        </w:tc>
        <w:tc>
          <w:tcPr>
            <w:tcW w:w="1744" w:type="dxa"/>
          </w:tcPr>
          <w:p w14:paraId="7EED87D9" w14:textId="77777777" w:rsidR="00B80AB2" w:rsidRDefault="00000000">
            <w:r>
              <w:t>-20.5%</w:t>
            </w:r>
          </w:p>
        </w:tc>
        <w:tc>
          <w:tcPr>
            <w:tcW w:w="1744" w:type="dxa"/>
          </w:tcPr>
          <w:p w14:paraId="7EED87DA" w14:textId="77777777" w:rsidR="00B80AB2" w:rsidRDefault="00000000">
            <w:r>
              <w:t>0.48</w:t>
            </w:r>
          </w:p>
        </w:tc>
      </w:tr>
      <w:tr w:rsidR="00B80AB2" w14:paraId="7EED87E2" w14:textId="77777777">
        <w:tc>
          <w:tcPr>
            <w:tcW w:w="1744" w:type="dxa"/>
          </w:tcPr>
          <w:p w14:paraId="7EED87DC" w14:textId="77777777" w:rsidR="00B80AB2" w:rsidRDefault="00000000">
            <w:r>
              <w:t>Classical ML (Random Forest)</w:t>
            </w:r>
          </w:p>
        </w:tc>
        <w:tc>
          <w:tcPr>
            <w:tcW w:w="1744" w:type="dxa"/>
          </w:tcPr>
          <w:p w14:paraId="7EED87DD" w14:textId="77777777" w:rsidR="00B80AB2" w:rsidRDefault="00000000">
            <w:r>
              <w:t>8.5%</w:t>
            </w:r>
          </w:p>
        </w:tc>
        <w:tc>
          <w:tcPr>
            <w:tcW w:w="1744" w:type="dxa"/>
          </w:tcPr>
          <w:p w14:paraId="7EED87DE" w14:textId="77777777" w:rsidR="00B80AB2" w:rsidRDefault="00000000">
            <w:r>
              <w:t>14.2%</w:t>
            </w:r>
          </w:p>
        </w:tc>
        <w:tc>
          <w:tcPr>
            <w:tcW w:w="1744" w:type="dxa"/>
          </w:tcPr>
          <w:p w14:paraId="7EED87DF" w14:textId="77777777" w:rsidR="00B80AB2" w:rsidRDefault="00000000">
            <w:r>
              <w:t>0.46</w:t>
            </w:r>
          </w:p>
        </w:tc>
        <w:tc>
          <w:tcPr>
            <w:tcW w:w="1744" w:type="dxa"/>
          </w:tcPr>
          <w:p w14:paraId="7EED87E0" w14:textId="77777777" w:rsidR="00B80AB2" w:rsidRDefault="00000000">
            <w:r>
              <w:t>-17.7%</w:t>
            </w:r>
          </w:p>
        </w:tc>
        <w:tc>
          <w:tcPr>
            <w:tcW w:w="1744" w:type="dxa"/>
          </w:tcPr>
          <w:p w14:paraId="7EED87E1" w14:textId="77777777" w:rsidR="00B80AB2" w:rsidRDefault="00000000">
            <w:r>
              <w:t>0.48</w:t>
            </w:r>
          </w:p>
        </w:tc>
      </w:tr>
      <w:tr w:rsidR="00B80AB2" w14:paraId="7EED87E9" w14:textId="77777777">
        <w:tc>
          <w:tcPr>
            <w:tcW w:w="1744" w:type="dxa"/>
          </w:tcPr>
          <w:p w14:paraId="7EED87E3" w14:textId="77777777" w:rsidR="00B80AB2" w:rsidRDefault="00000000">
            <w:r>
              <w:t>Static 60/40</w:t>
            </w:r>
          </w:p>
        </w:tc>
        <w:tc>
          <w:tcPr>
            <w:tcW w:w="1744" w:type="dxa"/>
          </w:tcPr>
          <w:p w14:paraId="7EED87E4" w14:textId="77777777" w:rsidR="00B80AB2" w:rsidRDefault="00000000">
            <w:r>
              <w:t>8.7%</w:t>
            </w:r>
          </w:p>
        </w:tc>
        <w:tc>
          <w:tcPr>
            <w:tcW w:w="1744" w:type="dxa"/>
          </w:tcPr>
          <w:p w14:paraId="7EED87E5" w14:textId="77777777" w:rsidR="00B80AB2" w:rsidRDefault="00000000">
            <w:r>
              <w:t>12.9%</w:t>
            </w:r>
          </w:p>
        </w:tc>
        <w:tc>
          <w:tcPr>
            <w:tcW w:w="1744" w:type="dxa"/>
          </w:tcPr>
          <w:p w14:paraId="7EED87E6" w14:textId="77777777" w:rsidR="00B80AB2" w:rsidRDefault="00000000">
            <w:r>
              <w:t>0.52</w:t>
            </w:r>
          </w:p>
        </w:tc>
        <w:tc>
          <w:tcPr>
            <w:tcW w:w="1744" w:type="dxa"/>
          </w:tcPr>
          <w:p w14:paraId="7EED87E7" w14:textId="77777777" w:rsidR="00B80AB2" w:rsidRDefault="00000000">
            <w:r>
              <w:t>-26.2%</w:t>
            </w:r>
          </w:p>
        </w:tc>
        <w:tc>
          <w:tcPr>
            <w:tcW w:w="1744" w:type="dxa"/>
          </w:tcPr>
          <w:p w14:paraId="7EED87E8" w14:textId="77777777" w:rsidR="00B80AB2" w:rsidRDefault="00000000">
            <w:r>
              <w:t>0.33</w:t>
            </w:r>
          </w:p>
        </w:tc>
      </w:tr>
      <w:tr w:rsidR="00B80AB2" w14:paraId="7EED87F0" w14:textId="77777777">
        <w:tc>
          <w:tcPr>
            <w:tcW w:w="1744" w:type="dxa"/>
          </w:tcPr>
          <w:p w14:paraId="7EED87EA" w14:textId="77777777" w:rsidR="00B80AB2" w:rsidRDefault="00000000">
            <w:r>
              <w:t>Equal-Weight</w:t>
            </w:r>
          </w:p>
        </w:tc>
        <w:tc>
          <w:tcPr>
            <w:tcW w:w="1744" w:type="dxa"/>
          </w:tcPr>
          <w:p w14:paraId="7EED87EB" w14:textId="77777777" w:rsidR="00B80AB2" w:rsidRDefault="00000000">
            <w:r>
              <w:t>7.9%</w:t>
            </w:r>
          </w:p>
        </w:tc>
        <w:tc>
          <w:tcPr>
            <w:tcW w:w="1744" w:type="dxa"/>
          </w:tcPr>
          <w:p w14:paraId="7EED87EC" w14:textId="77777777" w:rsidR="00B80AB2" w:rsidRDefault="00000000">
            <w:r>
              <w:t>11.5%</w:t>
            </w:r>
          </w:p>
        </w:tc>
        <w:tc>
          <w:tcPr>
            <w:tcW w:w="1744" w:type="dxa"/>
          </w:tcPr>
          <w:p w14:paraId="7EED87ED" w14:textId="77777777" w:rsidR="00B80AB2" w:rsidRDefault="00000000">
            <w:r>
              <w:t>0.51</w:t>
            </w:r>
          </w:p>
        </w:tc>
        <w:tc>
          <w:tcPr>
            <w:tcW w:w="1744" w:type="dxa"/>
          </w:tcPr>
          <w:p w14:paraId="7EED87EE" w14:textId="77777777" w:rsidR="00B80AB2" w:rsidRDefault="00000000">
            <w:r>
              <w:t>-20.3%</w:t>
            </w:r>
          </w:p>
        </w:tc>
        <w:tc>
          <w:tcPr>
            <w:tcW w:w="1744" w:type="dxa"/>
          </w:tcPr>
          <w:p w14:paraId="7EED87EF" w14:textId="77777777" w:rsidR="00B80AB2" w:rsidRDefault="00000000">
            <w:r>
              <w:t>0.39</w:t>
            </w:r>
          </w:p>
        </w:tc>
      </w:tr>
    </w:tbl>
    <w:p w14:paraId="437F80B5" w14:textId="77777777" w:rsidR="00584109" w:rsidRDefault="00584109"/>
    <w:p w14:paraId="7EED87F1" w14:textId="0995663A" w:rsidR="00B80AB2" w:rsidRDefault="00000000">
      <w:r>
        <w:t>The quantum-selected portfolio earns the highest Sharpe ratio (0.69) and the highest return at the lowest-but-one volatility, beating the ML challenger (0.46) and both passive benchmarks (0.52 / 0.51). The charts below show the growth of $1, the drawdown profile and the metric comparison.</w:t>
      </w:r>
    </w:p>
    <w:p w14:paraId="7EED87F2" w14:textId="77777777" w:rsidR="00B80A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ED8855" wp14:editId="7EED8856">
            <wp:extent cx="5303520" cy="32400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grow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F3" w14:textId="77777777" w:rsidR="00B80AB2" w:rsidRDefault="00000000">
      <w:pPr>
        <w:pStyle w:val="Caption"/>
        <w:jc w:val="center"/>
      </w:pPr>
      <w:r>
        <w:t>Figure 7. Out-of-sample growth of $1.</w:t>
      </w:r>
    </w:p>
    <w:p w14:paraId="7EED87F4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57" wp14:editId="7EED8858">
            <wp:extent cx="5303520" cy="31558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draw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F5" w14:textId="77777777" w:rsidR="00B80AB2" w:rsidRDefault="00000000">
      <w:pPr>
        <w:pStyle w:val="Caption"/>
        <w:jc w:val="center"/>
      </w:pPr>
      <w:r>
        <w:t xml:space="preserve">Figure 8. Drawdown profile (quantum has the shallowest </w:t>
      </w:r>
      <w:proofErr w:type="gramStart"/>
      <w:r>
        <w:t>deep-drawdowns</w:t>
      </w:r>
      <w:proofErr w:type="gramEnd"/>
      <w:r>
        <w:t xml:space="preserve"> of the active strategies).</w:t>
      </w:r>
    </w:p>
    <w:p w14:paraId="7EED87F6" w14:textId="77777777" w:rsidR="00B80A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ED8859" wp14:editId="7EED885A">
            <wp:extent cx="5486400" cy="2279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harpe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F7" w14:textId="77777777" w:rsidR="00B80AB2" w:rsidRDefault="00000000">
      <w:pPr>
        <w:pStyle w:val="Caption"/>
        <w:jc w:val="center"/>
      </w:pPr>
      <w:r>
        <w:t>Figure 9. Sharpe ratio and annualised return by strategy.</w:t>
      </w:r>
    </w:p>
    <w:p w14:paraId="7EED87F8" w14:textId="77777777" w:rsidR="00B80AB2" w:rsidRDefault="00000000">
      <w:pPr>
        <w:pStyle w:val="Heading2"/>
      </w:pPr>
      <w:bookmarkStart w:id="15" w:name="_Toc234007491"/>
      <w:r>
        <w:t>What each engine chose</w:t>
      </w:r>
      <w:bookmarkEnd w:id="15"/>
    </w:p>
    <w:p w14:paraId="7EED87F9" w14:textId="77777777" w:rsidR="00B80AB2" w:rsidRDefault="00000000">
      <w:r>
        <w:t>The quantum optimiser and the ML predictor express different 'personalities' – Figure 10 shows how often each asset was held. The mean-variance QAOA favours diversifying, lower-correlation assets, whereas the return-chasing Random Forest concentrates differently.</w:t>
      </w:r>
    </w:p>
    <w:p w14:paraId="7EED87FA" w14:textId="77777777" w:rsidR="00B80AB2" w:rsidRDefault="00000000">
      <w:pPr>
        <w:jc w:val="center"/>
      </w:pPr>
      <w:r>
        <w:rPr>
          <w:noProof/>
        </w:rPr>
        <w:drawing>
          <wp:inline distT="0" distB="0" distL="0" distR="0" wp14:anchorId="7EED885B" wp14:editId="7EED885C">
            <wp:extent cx="5303520" cy="28915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87FB" w14:textId="77777777" w:rsidR="00B80AB2" w:rsidRDefault="00000000">
      <w:pPr>
        <w:pStyle w:val="Caption"/>
        <w:jc w:val="center"/>
      </w:pPr>
      <w:r>
        <w:t>Figure 10. Fraction of months each asset was held.</w:t>
      </w:r>
    </w:p>
    <w:p w14:paraId="7EED87FC" w14:textId="77777777" w:rsidR="00B80AB2" w:rsidRDefault="00000000">
      <w:pPr>
        <w:pStyle w:val="Heading2"/>
      </w:pPr>
      <w:bookmarkStart w:id="16" w:name="_Toc234007492"/>
      <w:r>
        <w:t>Why quantum is the right long-term solution</w:t>
      </w:r>
      <w:bookmarkEnd w:id="16"/>
    </w:p>
    <w:p w14:paraId="7EED87FD" w14:textId="77777777" w:rsidR="00B80AB2" w:rsidRDefault="00000000">
      <w:r>
        <w:t xml:space="preserve">The decisive advantage is in scaling. Selecting B of N assets has </w:t>
      </w:r>
      <w:proofErr w:type="gramStart"/>
      <w:r>
        <w:t>C(</w:t>
      </w:r>
      <w:proofErr w:type="gramEnd"/>
      <w:r>
        <w:t xml:space="preserve">N, B) combinations – for example </w:t>
      </w:r>
      <w:proofErr w:type="gramStart"/>
      <w:r>
        <w:t>C(</w:t>
      </w:r>
      <w:proofErr w:type="gramEnd"/>
      <w:r>
        <w:t>500, 30) ≈ 10⁴⁸ – and adding realistic constraints (sector caps, cardinality, lot sizes, transaction costs) makes the problem NP-hard, beyond exact classical solvers. QAOA and quantum annealing explore this space with only N qubits (linear in assets), offering a credible route to high-quality solutions where classical heuristics degrade. The PoC demonstrates the complete, validated workflow that extends di</w:t>
      </w:r>
      <w:r>
        <w:t>rectly to that regime.</w:t>
      </w:r>
    </w:p>
    <w:p w14:paraId="42A66655" w14:textId="77777777" w:rsidR="00584109" w:rsidRDefault="00584109"/>
    <w:p w14:paraId="7EED87FE" w14:textId="77777777" w:rsidR="00B80AB2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b/>
          <w:color w:val="2F5496"/>
          <w:sz w:val="28"/>
          <w:szCs w:val="28"/>
        </w:rPr>
      </w:pPr>
      <w:bookmarkStart w:id="17" w:name="_Toc234007493"/>
      <w:r>
        <w:rPr>
          <w:rFonts w:ascii="Arial" w:eastAsia="Arial" w:hAnsi="Arial" w:cs="Arial"/>
          <w:b/>
          <w:sz w:val="28"/>
          <w:szCs w:val="28"/>
        </w:rPr>
        <w:lastRenderedPageBreak/>
        <w:t>Commercial Cost and Benefits</w:t>
      </w:r>
      <w:bookmarkEnd w:id="17"/>
    </w:p>
    <w:p w14:paraId="7EED87FF" w14:textId="04B0B355" w:rsidR="00B80AB2" w:rsidRDefault="00000000">
      <w:r>
        <w:t>The cost profile is modest at PoC scale, but it is dominated by people and integration, not quantum compute. The figures below are indicative planning ranges (</w:t>
      </w:r>
      <w:proofErr w:type="gramStart"/>
      <w:r>
        <w:t>fully-loaded</w:t>
      </w:r>
      <w:proofErr w:type="gramEnd"/>
      <w:r>
        <w:t>, US$) for a single-desk deployment inside an existing asset manager; they are order-of-magnitude, not quotes, and would be firmed up in a costed pilot.</w:t>
      </w:r>
    </w:p>
    <w:p w14:paraId="7EED8800" w14:textId="77777777" w:rsidR="00B80AB2" w:rsidRDefault="00000000">
      <w:pPr>
        <w:pStyle w:val="Heading2"/>
      </w:pPr>
      <w:bookmarkStart w:id="18" w:name="_Toc234007494"/>
      <w:r>
        <w:t>Total cost of ownership (indicative)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2187"/>
        <w:gridCol w:w="2187"/>
        <w:gridCol w:w="2358"/>
      </w:tblGrid>
      <w:tr w:rsidR="00B80AB2" w14:paraId="7EED8805" w14:textId="77777777">
        <w:tc>
          <w:tcPr>
            <w:tcW w:w="2616" w:type="dxa"/>
          </w:tcPr>
          <w:p w14:paraId="7EED8801" w14:textId="77777777" w:rsidR="00B80AB2" w:rsidRDefault="00000000">
            <w:r>
              <w:rPr>
                <w:b/>
              </w:rPr>
              <w:t>Item</w:t>
            </w:r>
          </w:p>
        </w:tc>
        <w:tc>
          <w:tcPr>
            <w:tcW w:w="2616" w:type="dxa"/>
          </w:tcPr>
          <w:p w14:paraId="7EED8802" w14:textId="77777777" w:rsidR="00B80AB2" w:rsidRDefault="00000000">
            <w:r>
              <w:rPr>
                <w:b/>
              </w:rPr>
              <w:t>One-off</w:t>
            </w:r>
          </w:p>
        </w:tc>
        <w:tc>
          <w:tcPr>
            <w:tcW w:w="2616" w:type="dxa"/>
          </w:tcPr>
          <w:p w14:paraId="7EED8803" w14:textId="77777777" w:rsidR="00B80AB2" w:rsidRDefault="00000000">
            <w:r>
              <w:rPr>
                <w:b/>
              </w:rPr>
              <w:t>Annual run</w:t>
            </w:r>
          </w:p>
        </w:tc>
        <w:tc>
          <w:tcPr>
            <w:tcW w:w="2616" w:type="dxa"/>
          </w:tcPr>
          <w:p w14:paraId="7EED8804" w14:textId="77777777" w:rsidR="00B80AB2" w:rsidRDefault="00000000">
            <w:r>
              <w:rPr>
                <w:b/>
              </w:rPr>
              <w:t>Basis / notes</w:t>
            </w:r>
          </w:p>
        </w:tc>
      </w:tr>
      <w:tr w:rsidR="00B80AB2" w14:paraId="7EED880A" w14:textId="77777777">
        <w:tc>
          <w:tcPr>
            <w:tcW w:w="2616" w:type="dxa"/>
          </w:tcPr>
          <w:p w14:paraId="7EED8806" w14:textId="77777777" w:rsidR="00B80AB2" w:rsidRDefault="00000000">
            <w:r>
              <w:t>Quantum compute (cloud QPU)</w:t>
            </w:r>
          </w:p>
        </w:tc>
        <w:tc>
          <w:tcPr>
            <w:tcW w:w="2616" w:type="dxa"/>
          </w:tcPr>
          <w:p w14:paraId="7EED8807" w14:textId="77777777" w:rsidR="00B80AB2" w:rsidRDefault="00000000">
            <w:r>
              <w:t>–</w:t>
            </w:r>
          </w:p>
        </w:tc>
        <w:tc>
          <w:tcPr>
            <w:tcW w:w="2616" w:type="dxa"/>
          </w:tcPr>
          <w:p w14:paraId="7EED8808" w14:textId="77777777" w:rsidR="00B80AB2" w:rsidRDefault="00000000">
            <w:r>
              <w:t>~$2k–$5k</w:t>
            </w:r>
          </w:p>
        </w:tc>
        <w:tc>
          <w:tcPr>
            <w:tcW w:w="2616" w:type="dxa"/>
          </w:tcPr>
          <w:p w14:paraId="7EED8809" w14:textId="77777777" w:rsidR="00B80AB2" w:rsidRDefault="00000000">
            <w:r>
              <w:t>A single 8-qubit rebalance solves in seconds. Premium superconducting QPU time is priced on a per-second basis (order of US$1.60/sec, ~US$96/min) [10]; a handful of jobs per rebalance over ~12 rebalances/yr is minor. The state-vector simulator is effectively free at N = 8. QPU cost scales with shots x circuit depth x jobs, so it grows with the universe, not linearly with AUM.</w:t>
            </w:r>
          </w:p>
        </w:tc>
      </w:tr>
      <w:tr w:rsidR="00B80AB2" w14:paraId="7EED880F" w14:textId="77777777">
        <w:tc>
          <w:tcPr>
            <w:tcW w:w="2616" w:type="dxa"/>
          </w:tcPr>
          <w:p w14:paraId="7EED880B" w14:textId="77777777" w:rsidR="00B80AB2" w:rsidRDefault="00000000">
            <w:r>
              <w:t>Development (build &amp; validate)</w:t>
            </w:r>
          </w:p>
        </w:tc>
        <w:tc>
          <w:tcPr>
            <w:tcW w:w="2616" w:type="dxa"/>
          </w:tcPr>
          <w:p w14:paraId="7EED880C" w14:textId="77777777" w:rsidR="00B80AB2" w:rsidRDefault="00000000">
            <w:r>
              <w:t>~$0.5m–$1.5m</w:t>
            </w:r>
          </w:p>
        </w:tc>
        <w:tc>
          <w:tcPr>
            <w:tcW w:w="2616" w:type="dxa"/>
          </w:tcPr>
          <w:p w14:paraId="7EED880D" w14:textId="77777777" w:rsidR="00B80AB2" w:rsidRDefault="00000000">
            <w:r>
              <w:t>–</w:t>
            </w:r>
          </w:p>
        </w:tc>
        <w:tc>
          <w:tcPr>
            <w:tcW w:w="2616" w:type="dxa"/>
          </w:tcPr>
          <w:p w14:paraId="7EED880E" w14:textId="77777777" w:rsidR="00B80AB2" w:rsidRDefault="00000000">
            <w:r>
              <w:t>2–4 FTE (quant researcher + quantum-software engineer + data/infra support) over ~6–12 months to build, validate and integrate the solver. Specialist quantum-finance engineers are scarce and carry a salary premium [4,5].</w:t>
            </w:r>
          </w:p>
        </w:tc>
      </w:tr>
      <w:tr w:rsidR="00B80AB2" w14:paraId="7EED8814" w14:textId="77777777">
        <w:tc>
          <w:tcPr>
            <w:tcW w:w="2616" w:type="dxa"/>
          </w:tcPr>
          <w:p w14:paraId="7EED8810" w14:textId="77777777" w:rsidR="00B80AB2" w:rsidRDefault="00000000">
            <w:r>
              <w:t>Data feeds &amp; classical infrastructure</w:t>
            </w:r>
          </w:p>
        </w:tc>
        <w:tc>
          <w:tcPr>
            <w:tcW w:w="2616" w:type="dxa"/>
          </w:tcPr>
          <w:p w14:paraId="7EED8811" w14:textId="77777777" w:rsidR="00B80AB2" w:rsidRDefault="00000000">
            <w:r>
              <w:t>Low</w:t>
            </w:r>
          </w:p>
        </w:tc>
        <w:tc>
          <w:tcPr>
            <w:tcW w:w="2616" w:type="dxa"/>
          </w:tcPr>
          <w:p w14:paraId="7EED8812" w14:textId="77777777" w:rsidR="00B80AB2" w:rsidRDefault="00000000">
            <w:r>
              <w:t>Low–Moderate</w:t>
            </w:r>
          </w:p>
        </w:tc>
        <w:tc>
          <w:tcPr>
            <w:tcW w:w="2616" w:type="dxa"/>
          </w:tcPr>
          <w:p w14:paraId="7EED8813" w14:textId="77777777" w:rsidR="00B80AB2" w:rsidRDefault="00000000">
            <w:r>
              <w:t>Market-data subscriptions and standard compute, largely reused from existing systems; incremental cost is small.</w:t>
            </w:r>
          </w:p>
        </w:tc>
      </w:tr>
      <w:tr w:rsidR="00B80AB2" w14:paraId="7EED8819" w14:textId="77777777">
        <w:tc>
          <w:tcPr>
            <w:tcW w:w="2616" w:type="dxa"/>
          </w:tcPr>
          <w:p w14:paraId="7EED8815" w14:textId="77777777" w:rsidR="00B80AB2" w:rsidRDefault="00000000">
            <w:r>
              <w:t>Talent, training &amp; governance</w:t>
            </w:r>
          </w:p>
        </w:tc>
        <w:tc>
          <w:tcPr>
            <w:tcW w:w="2616" w:type="dxa"/>
          </w:tcPr>
          <w:p w14:paraId="7EED8816" w14:textId="77777777" w:rsidR="00B80AB2" w:rsidRDefault="00000000">
            <w:r>
              <w:t>Moderate</w:t>
            </w:r>
          </w:p>
        </w:tc>
        <w:tc>
          <w:tcPr>
            <w:tcW w:w="2616" w:type="dxa"/>
          </w:tcPr>
          <w:p w14:paraId="7EED8817" w14:textId="77777777" w:rsidR="00B80AB2" w:rsidRDefault="00000000">
            <w:r>
              <w:t>Moderate</w:t>
            </w:r>
          </w:p>
        </w:tc>
        <w:tc>
          <w:tcPr>
            <w:tcW w:w="2616" w:type="dxa"/>
          </w:tcPr>
          <w:p w14:paraId="7EED8818" w14:textId="77777777" w:rsidR="00B80AB2" w:rsidRDefault="00000000">
            <w:r>
              <w:t>Upskilling the quant team, plus model-risk, compliance and audit overhead that any client-facing model attracts.</w:t>
            </w:r>
          </w:p>
        </w:tc>
      </w:tr>
    </w:tbl>
    <w:p w14:paraId="55194ABB" w14:textId="77777777" w:rsidR="00584109" w:rsidRDefault="00584109"/>
    <w:p w14:paraId="7EED881A" w14:textId="6B0C6205" w:rsidR="00B80AB2" w:rsidRDefault="00000000">
      <w:r>
        <w:t>Indicative all-in Year-1 cost is therefore on the order of US$1m–US$2m, roughly 90% of which is headcount; quantum compute is a rounding error at this scale. Ongoing run-rate (compute + maintenance + a partial team) is order US$0.3m–US$0.6m/yr.</w:t>
      </w:r>
    </w:p>
    <w:p w14:paraId="7EED881B" w14:textId="77777777" w:rsidR="00B80AB2" w:rsidRDefault="00000000">
      <w:pPr>
        <w:pStyle w:val="Heading2"/>
      </w:pPr>
      <w:bookmarkStart w:id="19" w:name="_Toc234007495"/>
      <w:r>
        <w:t>Benefits</w:t>
      </w:r>
      <w:bookmarkEnd w:id="19"/>
    </w:p>
    <w:p w14:paraId="7EED881C" w14:textId="77777777" w:rsidR="00B80AB2" w:rsidRDefault="00000000">
      <w:r>
        <w:t>Benefits fall into financial and strategic categories:</w:t>
      </w:r>
    </w:p>
    <w:p w14:paraId="7EED881D" w14:textId="77777777" w:rsidR="00B80AB2" w:rsidRDefault="00000000">
      <w:r>
        <w:t xml:space="preserve">•  Higher risk-adjusted return (gross, </w:t>
      </w:r>
      <w:proofErr w:type="spellStart"/>
      <w:r>
        <w:t>backtested</w:t>
      </w:r>
      <w:proofErr w:type="spellEnd"/>
      <w:r>
        <w:t>): the quantum strategy earned 9.8% per year versus 8.7% for 60/40 at lower volatility (Sharpe 0.69 vs 0.52). These figures are gross of transaction costs, taxes and slippage, which are not modelled and would reduce the live net edge.</w:t>
      </w:r>
    </w:p>
    <w:p w14:paraId="7EED881E" w14:textId="77777777" w:rsidR="00B80AB2" w:rsidRDefault="00000000">
      <w:r>
        <w:t>•  Scalability to large, constrained universes that classical exact optimisers handle poorly [4,5,9] – the capability that justifies the investment as mandates and constraint sets grow.</w:t>
      </w:r>
    </w:p>
    <w:p w14:paraId="7EED881F" w14:textId="77777777" w:rsidR="00B80AB2" w:rsidRDefault="00000000">
      <w:r>
        <w:t>•  Strategic differentiation and intellectual property ahead of the fault-tolerant era.</w:t>
      </w:r>
    </w:p>
    <w:p w14:paraId="22B0AC7F" w14:textId="77777777" w:rsidR="00584109" w:rsidRDefault="00584109"/>
    <w:p w14:paraId="7EED8820" w14:textId="77777777" w:rsidR="00B80AB2" w:rsidRDefault="00000000">
      <w:pPr>
        <w:pStyle w:val="Heading2"/>
      </w:pPr>
      <w:bookmarkStart w:id="20" w:name="_Toc234007496"/>
      <w:r>
        <w:t>Break-even and cost-benefit assessment</w:t>
      </w:r>
      <w:bookmarkEnd w:id="20"/>
    </w:p>
    <w:p w14:paraId="7EED8821" w14:textId="77777777" w:rsidR="00B80AB2" w:rsidRDefault="00000000">
      <w:r>
        <w:t xml:space="preserve">On a US$1bn mandate, each sustained +1 percentage point of net annual return is ~US$10m; even +0.25–0.50 pt (~US$2.5m–US$5m) covers the indicative Year-1 cost and recurring run-rate several times over. </w:t>
      </w:r>
      <w:proofErr w:type="gramStart"/>
      <w:r>
        <w:t>So</w:t>
      </w:r>
      <w:proofErr w:type="gramEnd"/>
      <w:r>
        <w:t xml:space="preserve"> the investment pays back inside a year IF a real, net-of-cost edge persists out of sample – which the current 82-month, gross, single-universe </w:t>
      </w:r>
      <w:proofErr w:type="spellStart"/>
      <w:r>
        <w:t>backtest</w:t>
      </w:r>
      <w:proofErr w:type="spellEnd"/>
      <w:r>
        <w:t xml:space="preserve"> does not yet establish (see Risks). Critically, at today’s 8-qubit scale the measured edge comes from the mean-variance formulation, not from any quantum s</w:t>
      </w:r>
      <w:r>
        <w:t>peed-up: a classical solver on the same QUBO returns the identical portfolio. The commercial rationale for investing now is therefore option value – building a validated, scalable, low-compute-cost pipeline and scarce in-house skills [4,5] so the firm can capture genuine quantum advantage once larger, constraint-rich problems and better hardware make it decisive.</w:t>
      </w:r>
    </w:p>
    <w:p w14:paraId="3E74F5E4" w14:textId="77777777" w:rsidR="00584109" w:rsidRDefault="00584109"/>
    <w:p w14:paraId="7EED8822" w14:textId="77777777" w:rsidR="00B80AB2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b/>
          <w:sz w:val="28"/>
          <w:szCs w:val="28"/>
        </w:rPr>
      </w:pPr>
      <w:bookmarkStart w:id="21" w:name="_Toc234007497"/>
      <w:r>
        <w:rPr>
          <w:rFonts w:ascii="Arial" w:eastAsia="Arial" w:hAnsi="Arial" w:cs="Arial"/>
          <w:b/>
          <w:sz w:val="28"/>
          <w:szCs w:val="28"/>
        </w:rPr>
        <w:t>Risks and Challenges</w:t>
      </w:r>
      <w:bookmarkEnd w:id="21"/>
    </w:p>
    <w:p w14:paraId="7EED8823" w14:textId="77777777" w:rsidR="00B80AB2" w:rsidRDefault="00000000">
      <w:r>
        <w:t>Risks span three layers: the quantum technology, the stability of the model itself, and the risk borne by end clients. Each is managed by a staged adoption roadmap with parallel classical validation.</w:t>
      </w:r>
    </w:p>
    <w:p w14:paraId="7EED8824" w14:textId="77777777" w:rsidR="00B80AB2" w:rsidRDefault="00000000">
      <w:pPr>
        <w:pStyle w:val="Heading2"/>
      </w:pPr>
      <w:bookmarkStart w:id="22" w:name="_Toc234007498"/>
      <w:r>
        <w:t>Technical and implementation risks</w:t>
      </w:r>
      <w:bookmarkEnd w:id="22"/>
    </w:p>
    <w:p w14:paraId="7EED8825" w14:textId="77777777" w:rsidR="00B80AB2" w:rsidRDefault="00000000">
      <w:r>
        <w:t>•  NISQ noise and decoherence limit circuit depth and solution quality on real hardware. Mitigation: error mitigation near term; error correction once fault-tolerant devices exist.</w:t>
      </w:r>
    </w:p>
    <w:p w14:paraId="7EED8826" w14:textId="77777777" w:rsidR="00B80AB2" w:rsidRDefault="00000000">
      <w:r>
        <w:t xml:space="preserve">•  Trainability / barren plateaus: variational gradients can vanish as qubits and depth grow [7]. Mitigation: problem-aware </w:t>
      </w:r>
      <w:proofErr w:type="spellStart"/>
      <w:r>
        <w:t>ansatze</w:t>
      </w:r>
      <w:proofErr w:type="spellEnd"/>
      <w:r>
        <w:t>, seeded initial points (already used) and layer-wise training.</w:t>
      </w:r>
    </w:p>
    <w:p w14:paraId="7EED8827" w14:textId="77777777" w:rsidR="00B80AB2" w:rsidRDefault="00000000">
      <w:r>
        <w:t>•  Limited qubit count and connectivity: the dense covariance graph needs near all-to-all interaction; sparse hardware adds SWAP overhead. Mitigation: trapped-ion all-to-all hardware; efficient embeddings.</w:t>
      </w:r>
    </w:p>
    <w:p w14:paraId="7EED8828" w14:textId="77777777" w:rsidR="00B80AB2" w:rsidRDefault="00000000">
      <w:r>
        <w:t>•  No proven advantage at small scale: at eight qubits classical solvers win, so near-term value is strategic. Mitigation: treat as capability-building with a clear path to scale.</w:t>
      </w:r>
    </w:p>
    <w:p w14:paraId="7EED8829" w14:textId="77777777" w:rsidR="00B80AB2" w:rsidRDefault="00000000">
      <w:r>
        <w:lastRenderedPageBreak/>
        <w:t>•  Vendor / technology risk: fast-moving hardware and SDKs. Mitigation: pinned dependencies (</w:t>
      </w:r>
      <w:proofErr w:type="spellStart"/>
      <w:r>
        <w:t>Qiskit</w:t>
      </w:r>
      <w:proofErr w:type="spellEnd"/>
      <w:r>
        <w:t xml:space="preserve"> 2.4.1) and a solver abstraction layer.</w:t>
      </w:r>
    </w:p>
    <w:p w14:paraId="7EED882A" w14:textId="77777777" w:rsidR="00B80AB2" w:rsidRDefault="00000000">
      <w:r>
        <w:t>•  Talent scarcity: quantum-finance expertise is rare. Mitigation: targeted hiring and internal upskilling.</w:t>
      </w:r>
    </w:p>
    <w:p w14:paraId="40D369FA" w14:textId="77777777" w:rsidR="00584109" w:rsidRDefault="00584109"/>
    <w:p w14:paraId="7EED882B" w14:textId="77777777" w:rsidR="00B80AB2" w:rsidRDefault="00000000">
      <w:pPr>
        <w:pStyle w:val="Heading2"/>
      </w:pPr>
      <w:bookmarkStart w:id="23" w:name="_Toc234007499"/>
      <w:r>
        <w:t>Model stability and robustness</w:t>
      </w:r>
      <w:bookmarkEnd w:id="23"/>
    </w:p>
    <w:p w14:paraId="7EED882C" w14:textId="77777777" w:rsidR="00B80AB2" w:rsidRDefault="00000000">
      <w:r>
        <w:t>Stability must be judged on two axes – the stability of the quantum solver and the stability of the underlying statistical model – because an unstable model erodes client trust even when the solver is exact.</w:t>
      </w:r>
    </w:p>
    <w:p w14:paraId="7EED882D" w14:textId="77777777" w:rsidR="00B80AB2" w:rsidRDefault="00000000">
      <w:r>
        <w:t>•  Solver stability: QAOA is a stochastic, variational method whose measured energy varies with shots and the initial point. In this PoC (p = 1, 1024 shots, seeded COBYLA) it is deterministic and reproduced the exact optimum at every one of 28 rebalances (match rate 1.00). At scale, rugged energy landscapes and barren plateaus [7] threaten this. Mitigation: fixed seeds, warm-starts, multiple restarts, CVaR objectives and always-on classical validation.</w:t>
      </w:r>
    </w:p>
    <w:p w14:paraId="7EED882E" w14:textId="77777777" w:rsidR="00B80AB2" w:rsidRDefault="00000000">
      <w:r>
        <w:t xml:space="preserve">•  Estimation stability (the dominant real-world risk): the mean-return vector and covariance matrix are estimated from a rolling 36-month window and are noisy. Mean-variance optimisation is notoriously input-sensitive – small estimate changes can flip the selected set and drive turnover, and naive diversification can rival optimised weights out of sample [8]. Mitigation: </w:t>
      </w:r>
      <w:proofErr w:type="spellStart"/>
      <w:r>
        <w:t>Ledoit</w:t>
      </w:r>
      <w:proofErr w:type="spellEnd"/>
      <w:r>
        <w:t>-Wolf covariance shrinkage [6], robust/Bayesian estimation, turnover penalties and holding-period smoothing.</w:t>
      </w:r>
    </w:p>
    <w:p w14:paraId="7EED882F" w14:textId="77777777" w:rsidR="00B80AB2" w:rsidRDefault="00000000">
      <w:r>
        <w:t>•  Sample and regime stability: results rest on 82 out-of-sample months, one asset universe and a limited span of market regimes; they may not persist out of sample or survive a stress event (e.g. a 2008-style crash). Mitigation: longer histories, multiple universes, and regime-conditioned bootstrap / Monte-Carlo stress testing before any capital is committed.</w:t>
      </w:r>
    </w:p>
    <w:p w14:paraId="7EED8830" w14:textId="77777777" w:rsidR="00B80AB2" w:rsidRDefault="00000000">
      <w:r>
        <w:t>•  Reproducibility and auditability: seeded runs, pinned dependencies and a parallel classical solver make every decision deterministic and fully logged – a prerequisite for model governance.</w:t>
      </w:r>
    </w:p>
    <w:p w14:paraId="2B6270BC" w14:textId="77777777" w:rsidR="00584109" w:rsidRDefault="00584109"/>
    <w:p w14:paraId="7EED8831" w14:textId="77777777" w:rsidR="00B80AB2" w:rsidRDefault="00000000">
      <w:pPr>
        <w:pStyle w:val="Heading2"/>
      </w:pPr>
      <w:bookmarkStart w:id="24" w:name="_Toc234007500"/>
      <w:r>
        <w:t>Risk to clients</w:t>
      </w:r>
      <w:bookmarkEnd w:id="24"/>
    </w:p>
    <w:p w14:paraId="7EED8832" w14:textId="77777777" w:rsidR="00B80AB2" w:rsidRDefault="00000000">
      <w:r>
        <w:t>Because this would ultimately allocate client capital, client-facing risks are treated as first-class, not a footnote.</w:t>
      </w:r>
    </w:p>
    <w:p w14:paraId="7EED8833" w14:textId="77777777" w:rsidR="00B80AB2" w:rsidRDefault="00000000">
      <w:r>
        <w:t xml:space="preserve">•  Capital loss and drawdown: the </w:t>
      </w:r>
      <w:proofErr w:type="spellStart"/>
      <w:r>
        <w:t>backtest</w:t>
      </w:r>
      <w:proofErr w:type="spellEnd"/>
      <w:r>
        <w:t xml:space="preserve"> shows a maximum drawdown of -20.5%; clients can and will lose money in adverse periods, and past performance does not guarantee future results. Mitigation: explicit disclosure, drawdown limits and per-mandate risk budgeting.</w:t>
      </w:r>
    </w:p>
    <w:p w14:paraId="7EED8834" w14:textId="77777777" w:rsidR="00B80AB2" w:rsidRDefault="00000000">
      <w:r>
        <w:t xml:space="preserve">•  Backtest-to-live gap: reported returns are gross – transaction costs, taxes, slippage and capacity are not modelled – so live net returns will be lower. Mitigation: cost-aware </w:t>
      </w:r>
      <w:proofErr w:type="spellStart"/>
      <w:r>
        <w:t>backtesting</w:t>
      </w:r>
      <w:proofErr w:type="spellEnd"/>
      <w:r>
        <w:t xml:space="preserve"> and paper trading before live capital.</w:t>
      </w:r>
    </w:p>
    <w:p w14:paraId="7EED8835" w14:textId="77777777" w:rsidR="00B80AB2" w:rsidRDefault="00000000">
      <w:r>
        <w:t>•  Model risk: any optimiser amplifies bad inputs, so estimation error translates into real misallocation. Mitigation: independent model-risk review, challenger models and human sign-off on allocations.</w:t>
      </w:r>
    </w:p>
    <w:p w14:paraId="7EED8836" w14:textId="77777777" w:rsidR="00B80AB2" w:rsidRDefault="00000000">
      <w:r>
        <w:lastRenderedPageBreak/>
        <w:t>•  Suitability and fiduciary duty: allocations must match each client’s mandate, risk tolerance and liquidity needs; the novelty of a quantum method is never itself a reason to deploy. Mitigation: suitability checks and explicit mandate alignment.</w:t>
      </w:r>
    </w:p>
    <w:p w14:paraId="7EED8837" w14:textId="77777777" w:rsidR="00B80AB2" w:rsidRDefault="00000000">
      <w:r>
        <w:t>•  Explainability and governance: quantum outputs are probabilistic and hard to explain to clients and regulators. Mitigation: parallel classical validation, plain-language rationale, seeded determinism and full decision logging.</w:t>
      </w:r>
    </w:p>
    <w:p w14:paraId="7EED8838" w14:textId="77777777" w:rsidR="00B80AB2" w:rsidRDefault="00000000">
      <w:r>
        <w:t>•  Operational and vendor risk: dependence on cloud-QPU availability and evolving SDKs could disrupt a scheduled rebalance. Mitigation: a classical fallback solver behind a solver-abstraction layer, plus vendor SLAs.</w:t>
      </w:r>
    </w:p>
    <w:p w14:paraId="6794C1BA" w14:textId="77777777" w:rsidR="00584109" w:rsidRDefault="00584109"/>
    <w:p w14:paraId="7EED8839" w14:textId="77777777" w:rsidR="00B80AB2" w:rsidRDefault="00000000">
      <w:pPr>
        <w:pStyle w:val="Heading1"/>
        <w:numPr>
          <w:ilvl w:val="0"/>
          <w:numId w:val="1"/>
        </w:numPr>
        <w:rPr>
          <w:rFonts w:ascii="Arial" w:eastAsia="Arial" w:hAnsi="Arial" w:cs="Arial"/>
          <w:b/>
          <w:sz w:val="28"/>
          <w:szCs w:val="28"/>
        </w:rPr>
      </w:pPr>
      <w:bookmarkStart w:id="25" w:name="_Toc234007501"/>
      <w:r>
        <w:rPr>
          <w:rFonts w:ascii="Arial" w:eastAsia="Arial" w:hAnsi="Arial" w:cs="Arial"/>
          <w:b/>
          <w:sz w:val="28"/>
          <w:szCs w:val="28"/>
        </w:rPr>
        <w:t>Conclusion</w:t>
      </w:r>
      <w:bookmarkEnd w:id="25"/>
      <w:r>
        <w:rPr>
          <w:rFonts w:ascii="Arial" w:eastAsia="Arial" w:hAnsi="Arial" w:cs="Arial"/>
          <w:b/>
          <w:sz w:val="28"/>
          <w:szCs w:val="28"/>
        </w:rPr>
        <w:t> </w:t>
      </w:r>
    </w:p>
    <w:p w14:paraId="7EED883A" w14:textId="77777777" w:rsidR="00B80AB2" w:rsidRDefault="00000000">
      <w:r>
        <w:t>This specification presented a working proof of concept that casts monthly portfolio selection as a cardinality-constrained mean-variance QUBO and solves it with QAOA. The eight-qubit circuit (Hadamard → R_Z / R_ZZ cost layer → R_X mixer, two variational parameters) was validated against a classical exact solver at every rebalance, reproducing the optimum exactly (match rate 1.00), and delivered the best out-of-sample risk-adjusted performance (Sharpe 0.69) over roughly a decade of data, ahead of a Random-F</w:t>
      </w:r>
      <w:r>
        <w:t>orest challenger and both passive benchmarks.</w:t>
      </w:r>
    </w:p>
    <w:p w14:paraId="7EED883B" w14:textId="77777777" w:rsidR="00B80AB2" w:rsidRDefault="00000000">
      <w:r>
        <w:t>The architecture is modular – only the solver call moves to quantum hardware – and extends directly to large, constraint-rich universes where classical optimisation becomes intractable and quantum advantage is expected to emerge. Near-term value lies in building a validated, scalable capability at low quantum-compute cost; the main risks (NISQ noise, trainability and the absence of a proven small-scale speed-up) are managed through error mitigation, robust estimation, reproducible seeded runs and a staged p</w:t>
      </w:r>
      <w:r>
        <w:t>ath toward fault-tolerant hardware.</w:t>
      </w:r>
    </w:p>
    <w:p w14:paraId="5EF137D2" w14:textId="77777777" w:rsidR="00584109" w:rsidRDefault="00584109"/>
    <w:p w14:paraId="3A2587D7" w14:textId="77777777" w:rsidR="00584109" w:rsidRDefault="00584109"/>
    <w:p w14:paraId="5F18EE13" w14:textId="77777777" w:rsidR="00584109" w:rsidRDefault="00584109"/>
    <w:p w14:paraId="6C5A871C" w14:textId="77777777" w:rsidR="00584109" w:rsidRDefault="00584109"/>
    <w:p w14:paraId="1E4C0BCC" w14:textId="77777777" w:rsidR="00584109" w:rsidRDefault="00584109"/>
    <w:p w14:paraId="09461C29" w14:textId="77777777" w:rsidR="00584109" w:rsidRDefault="00584109"/>
    <w:p w14:paraId="29C478D1" w14:textId="715BBB98" w:rsidR="00584109" w:rsidRDefault="00584109">
      <w:r>
        <w:br w:type="page"/>
      </w:r>
    </w:p>
    <w:p w14:paraId="7EED883C" w14:textId="77777777" w:rsidR="00B80AB2" w:rsidRDefault="00000000">
      <w:pPr>
        <w:pStyle w:val="Heading1"/>
      </w:pPr>
      <w:bookmarkStart w:id="26" w:name="_Toc234007502"/>
      <w:r>
        <w:lastRenderedPageBreak/>
        <w:t>References</w:t>
      </w:r>
      <w:bookmarkEnd w:id="26"/>
    </w:p>
    <w:p w14:paraId="7EED883D" w14:textId="77777777" w:rsidR="00B80AB2" w:rsidRDefault="00000000">
      <w:r>
        <w:t>[1</w:t>
      </w:r>
      <w:proofErr w:type="gramStart"/>
      <w:r>
        <w:t>]  Markowitz</w:t>
      </w:r>
      <w:proofErr w:type="gramEnd"/>
      <w:r>
        <w:t>, H. (1952). Portfolio Selection. The Journal of Finance, 7(1), 77-91.</w:t>
      </w:r>
    </w:p>
    <w:p w14:paraId="7EED883E" w14:textId="77777777" w:rsidR="00B80AB2" w:rsidRDefault="00000000">
      <w:r>
        <w:t>[2</w:t>
      </w:r>
      <w:proofErr w:type="gramStart"/>
      <w:r>
        <w:t>]  Farhi</w:t>
      </w:r>
      <w:proofErr w:type="gramEnd"/>
      <w:r>
        <w:t>, E., Goldstone, J., &amp; Gutmann, S. (2014). A Quantum Approximate Optimization Algorithm. arXiv:1411.4028.</w:t>
      </w:r>
    </w:p>
    <w:p w14:paraId="7EED883F" w14:textId="77777777" w:rsidR="00B80AB2" w:rsidRDefault="00000000">
      <w:r>
        <w:t>[3</w:t>
      </w:r>
      <w:proofErr w:type="gramStart"/>
      <w:r>
        <w:t xml:space="preserve">]  </w:t>
      </w:r>
      <w:proofErr w:type="spellStart"/>
      <w:r>
        <w:t>Preskill</w:t>
      </w:r>
      <w:proofErr w:type="spellEnd"/>
      <w:proofErr w:type="gramEnd"/>
      <w:r>
        <w:t>, J. (2018). Quantum Computing in the NISQ era and beyond. Quantum, 2, 79.</w:t>
      </w:r>
    </w:p>
    <w:p w14:paraId="7EED8840" w14:textId="77777777" w:rsidR="00B80AB2" w:rsidRDefault="00000000">
      <w:r>
        <w:t>[4</w:t>
      </w:r>
      <w:proofErr w:type="gramStart"/>
      <w:r>
        <w:t>]  Egger</w:t>
      </w:r>
      <w:proofErr w:type="gramEnd"/>
      <w:r>
        <w:t>, D. J., et al. (2020). Quantum Computing for Finance: State-of-the-Art and Future Prospects. IEEE Transactions on Quantum Engineering, 1, 1-24.</w:t>
      </w:r>
    </w:p>
    <w:p w14:paraId="7EED8841" w14:textId="77777777" w:rsidR="00B80AB2" w:rsidRDefault="00000000">
      <w:r>
        <w:t>[5</w:t>
      </w:r>
      <w:proofErr w:type="gramStart"/>
      <w:r>
        <w:t>]  Herman</w:t>
      </w:r>
      <w:proofErr w:type="gramEnd"/>
      <w:r>
        <w:t>, D., et al. (2023). Quantum computing for finance. Nature Reviews Physics, 5, 450-465.</w:t>
      </w:r>
    </w:p>
    <w:p w14:paraId="7EED8842" w14:textId="77777777" w:rsidR="00B80AB2" w:rsidRDefault="00000000">
      <w:r>
        <w:t>[6</w:t>
      </w:r>
      <w:proofErr w:type="gramStart"/>
      <w:r>
        <w:t xml:space="preserve">]  </w:t>
      </w:r>
      <w:proofErr w:type="spellStart"/>
      <w:r>
        <w:t>Ledoit</w:t>
      </w:r>
      <w:proofErr w:type="spellEnd"/>
      <w:proofErr w:type="gramEnd"/>
      <w:r>
        <w:t>, O., &amp; Wolf, M. (2004). A well-conditioned estimator for large-dimensional covariance matrices. Journal of Multivariate Analysis, 88(2), 365-411.</w:t>
      </w:r>
    </w:p>
    <w:p w14:paraId="7EED8843" w14:textId="77777777" w:rsidR="00B80AB2" w:rsidRDefault="00000000">
      <w:r>
        <w:t>[7</w:t>
      </w:r>
      <w:proofErr w:type="gramStart"/>
      <w:r>
        <w:t>]  McClean</w:t>
      </w:r>
      <w:proofErr w:type="gramEnd"/>
      <w:r>
        <w:t>, J. R., et al. (2018). Barren plateaus in quantum neural network training landscapes. Nature Communications, 9, 4812.</w:t>
      </w:r>
    </w:p>
    <w:p w14:paraId="7EED8844" w14:textId="77777777" w:rsidR="00B80AB2" w:rsidRDefault="00000000">
      <w:r>
        <w:t>[8</w:t>
      </w:r>
      <w:proofErr w:type="gramStart"/>
      <w:r>
        <w:t>]  DeMiguel</w:t>
      </w:r>
      <w:proofErr w:type="gramEnd"/>
      <w:r>
        <w:t>, V., Garlappi, L., &amp; Uppal, R. (2009). Optimal Versus Naive Diversification: How Inefficient is the 1/N Portfolio Strategy? The Review of Financial Studies, 22(5), 1915-1953.</w:t>
      </w:r>
    </w:p>
    <w:p w14:paraId="7EED8845" w14:textId="77777777" w:rsidR="00B80AB2" w:rsidRDefault="00000000">
      <w:r>
        <w:t>[9</w:t>
      </w:r>
      <w:proofErr w:type="gramStart"/>
      <w:r>
        <w:t>]  Mugel</w:t>
      </w:r>
      <w:proofErr w:type="gramEnd"/>
      <w:r>
        <w:t>, S., et al. (2022). Dynamic portfolio optimization with real datasets using quantum processors and quantum-inspired tensor networks. Physical Review Research, 4, 013006.</w:t>
      </w:r>
    </w:p>
    <w:p w14:paraId="7EED8846" w14:textId="77777777" w:rsidR="00B80AB2" w:rsidRDefault="00000000">
      <w:r>
        <w:t>[10</w:t>
      </w:r>
      <w:proofErr w:type="gramStart"/>
      <w:r>
        <w:t>]  IBM</w:t>
      </w:r>
      <w:proofErr w:type="gramEnd"/>
      <w:r>
        <w:t xml:space="preserve"> Quantum / AWS </w:t>
      </w:r>
      <w:proofErr w:type="spellStart"/>
      <w:r>
        <w:t>Braket</w:t>
      </w:r>
      <w:proofErr w:type="spellEnd"/>
      <w:r>
        <w:t xml:space="preserve"> pay-as-you-go pricing documentation (2024). Per-second and per-task quantum-hardware access rates.</w:t>
      </w:r>
    </w:p>
    <w:sectPr w:rsidR="00B8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1A8789-D70D-4474-AFF5-F9925477E586}"/>
    <w:embedBold r:id="rId2" w:fontKey="{599034AD-625C-44D3-A933-21519936B427}"/>
    <w:embedItalic r:id="rId3" w:fontKey="{3956FFE4-2BBB-4970-9672-CD2E5B5569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276F7CD-C62E-47D0-8B24-024A4149FC3E}"/>
    <w:embedBold r:id="rId5" w:fontKey="{BB4CE148-D630-4197-B2E3-7218FAEA8EE7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C25125B2-1082-46B0-B5D5-E454C914F8B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59046043-16B9-4633-B22F-AEF4F8A15D84}"/>
    <w:embedBold r:id="rId8" w:fontKey="{8BEFF1B4-DB4F-414E-9452-61C4D0793E6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D23E3"/>
    <w:multiLevelType w:val="multilevel"/>
    <w:tmpl w:val="30269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22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B2"/>
    <w:rsid w:val="00213994"/>
    <w:rsid w:val="00352924"/>
    <w:rsid w:val="00584109"/>
    <w:rsid w:val="006D25E8"/>
    <w:rsid w:val="007E7BFD"/>
    <w:rsid w:val="00A91B59"/>
    <w:rsid w:val="00B8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875B"/>
  <w15:docId w15:val="{B9A70A89-D207-4793-9ECF-59B54B21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8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1F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4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48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73FB3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73F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3F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73FB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1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1A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4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41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52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521FED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F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EF4"/>
  </w:style>
  <w:style w:type="paragraph" w:styleId="Footer">
    <w:name w:val="footer"/>
    <w:basedOn w:val="Normal"/>
    <w:link w:val="FooterChar"/>
    <w:uiPriority w:val="99"/>
    <w:unhideWhenUsed/>
    <w:rsid w:val="00DF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woOCzp5v5S6wcGdAWZmzyq6Kag==">AMUW2mUgqatLxBgke9uQkzgIFJBEEhBxVZgcT1xYQ8YRALFLxs7X0JYEnyuGBlL1s06V6+CBRlXa9NHTQpq6dOhwQn2PCj6Fo3UiSrE2FBktCFXcefT0H4I8s+4leNJyrVftVNDlj4RPTXl4TIsLxjpAmEEsC6xZ6DGUwR77P6IlloaI0lGukyJ530kglRTKKjIwtr66vt1SVUtVuaMtQ/H/GAgYpzgUGYahJ+92wR23wcqUn+kgY7g=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3232</Words>
  <Characters>19037</Characters>
  <Application>Microsoft Office Word</Application>
  <DocSecurity>0</DocSecurity>
  <Lines>475</Lines>
  <Paragraphs>253</Paragraphs>
  <ScaleCrop>false</ScaleCrop>
  <Company/>
  <LinksUpToDate>false</LinksUpToDate>
  <CharactersWithSpaces>22016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Namrata GOSWAMI</dc:creator>
  <cp:lastModifiedBy>justin _</cp:lastModifiedBy>
  <cp:revision>5</cp:revision>
  <dcterms:created xsi:type="dcterms:W3CDTF">2019-09-02T03:01:00Z</dcterms:created>
  <dcterms:modified xsi:type="dcterms:W3CDTF">2026-07-03T13:44:00Z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0x0101005E71DFEA9337C64CA06B65F671FE5D2C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2022-04-08T11:42:42Z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ebcf14ed-5cfb-4705-b517-9e1438afe83a</vt:lpwstr>
  </property>
  <property fmtid="{D5CDD505-2E9C-101B-9397-08002B2CF9AE}" pid="9" name="MSIP_Label_6951d41b-6b8e-4636-984f-012bff14ba18_ContentBits">
    <vt:lpwstr>1</vt:lpwstr>
  </property>
</Properties>
</file>