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7A" w:rsidRPr="00FC217A" w:rsidRDefault="00FC217A" w:rsidP="00FC217A">
      <w:pPr>
        <w:pStyle w:val="Title"/>
        <w:rPr>
          <w:sz w:val="44"/>
          <w:szCs w:val="44"/>
        </w:rPr>
      </w:pPr>
      <w:r w:rsidRPr="00FC217A">
        <w:rPr>
          <w:sz w:val="44"/>
          <w:szCs w:val="44"/>
        </w:rPr>
        <w:t xml:space="preserve">Faculty of Pharmacy Strategic plan for Research </w:t>
      </w:r>
    </w:p>
    <w:p w:rsidR="00FC217A" w:rsidRDefault="00FC217A" w:rsidP="00CE0BB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Research is of primary importance for the faculty of Pharmacy of the Lebanese University. Our goals are the following in this field: </w:t>
      </w:r>
    </w:p>
    <w:p w:rsidR="004065AF" w:rsidRPr="00FC217A" w:rsidRDefault="00F55D14" w:rsidP="006B10CC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C217A">
        <w:rPr>
          <w:rFonts w:asciiTheme="majorBidi" w:hAnsiTheme="majorBidi" w:cstheme="majorBidi"/>
          <w:b/>
          <w:bCs/>
          <w:sz w:val="24"/>
          <w:szCs w:val="24"/>
        </w:rPr>
        <w:t xml:space="preserve">Goal 1: Create a collaborative culture for research </w:t>
      </w:r>
      <w:r w:rsidR="00881043" w:rsidRPr="00FC217A">
        <w:rPr>
          <w:rFonts w:asciiTheme="majorBidi" w:hAnsiTheme="majorBidi" w:cstheme="majorBidi"/>
          <w:b/>
          <w:bCs/>
          <w:sz w:val="24"/>
          <w:szCs w:val="24"/>
        </w:rPr>
        <w:t>through partnership</w:t>
      </w:r>
    </w:p>
    <w:p w:rsidR="00F55D14" w:rsidRDefault="00F55D14" w:rsidP="006B10C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E0BBC">
        <w:rPr>
          <w:rFonts w:asciiTheme="majorBidi" w:hAnsiTheme="majorBidi" w:cstheme="majorBidi"/>
          <w:sz w:val="24"/>
          <w:szCs w:val="24"/>
        </w:rPr>
        <w:t>Provide and develop an environment of interdepartmental cooperation and partnership.</w:t>
      </w:r>
    </w:p>
    <w:p w:rsidR="00FC217A" w:rsidRPr="00CE0BBC" w:rsidRDefault="00FC217A" w:rsidP="00FC217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done through multidisciplinary teams for research</w:t>
      </w:r>
    </w:p>
    <w:p w:rsidR="00F55D14" w:rsidRDefault="00F55D14" w:rsidP="003511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E0BBC">
        <w:rPr>
          <w:rFonts w:asciiTheme="majorBidi" w:hAnsiTheme="majorBidi" w:cstheme="majorBidi"/>
          <w:sz w:val="24"/>
          <w:szCs w:val="24"/>
        </w:rPr>
        <w:t xml:space="preserve">Explore new areas </w:t>
      </w:r>
      <w:r w:rsidR="0035118F">
        <w:rPr>
          <w:rFonts w:asciiTheme="majorBidi" w:hAnsiTheme="majorBidi" w:cstheme="majorBidi"/>
          <w:sz w:val="24"/>
          <w:szCs w:val="24"/>
        </w:rPr>
        <w:t>of research through leading</w:t>
      </w:r>
      <w:r w:rsidR="0035118F" w:rsidRPr="00CE0BBC">
        <w:rPr>
          <w:rFonts w:asciiTheme="majorBidi" w:hAnsiTheme="majorBidi" w:cstheme="majorBidi"/>
          <w:sz w:val="24"/>
          <w:szCs w:val="24"/>
        </w:rPr>
        <w:t xml:space="preserve"> interdisciplinary research initiatives that encompass national and international collaborations</w:t>
      </w:r>
    </w:p>
    <w:p w:rsidR="00FC217A" w:rsidRPr="0035118F" w:rsidRDefault="00FC217A" w:rsidP="00FC217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International collaborations are numerous and encouraged</w:t>
      </w:r>
    </w:p>
    <w:p w:rsidR="00F55D14" w:rsidRDefault="00881043" w:rsidP="00CE0B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E0BBC">
        <w:rPr>
          <w:rFonts w:asciiTheme="majorBidi" w:hAnsiTheme="majorBidi" w:cstheme="majorBidi"/>
          <w:sz w:val="24"/>
          <w:szCs w:val="24"/>
        </w:rPr>
        <w:t xml:space="preserve">Expand communication of research findings to inform and impact the scientific community, health </w:t>
      </w:r>
      <w:bookmarkStart w:id="0" w:name="_GoBack"/>
      <w:bookmarkEnd w:id="0"/>
      <w:r w:rsidRPr="00CE0BBC">
        <w:rPr>
          <w:rFonts w:asciiTheme="majorBidi" w:hAnsiTheme="majorBidi" w:cstheme="majorBidi"/>
          <w:sz w:val="24"/>
          <w:szCs w:val="24"/>
        </w:rPr>
        <w:t xml:space="preserve">providers, the general public, and policy makers; through and not limited to </w:t>
      </w:r>
      <w:r w:rsidR="00F77BE0" w:rsidRPr="00CE0BBC">
        <w:rPr>
          <w:rFonts w:asciiTheme="majorBidi" w:hAnsiTheme="majorBidi" w:cstheme="majorBidi"/>
          <w:sz w:val="24"/>
          <w:szCs w:val="24"/>
        </w:rPr>
        <w:t>Publication</w:t>
      </w:r>
      <w:r w:rsidR="00FC217A">
        <w:rPr>
          <w:rFonts w:asciiTheme="majorBidi" w:hAnsiTheme="majorBidi" w:cstheme="majorBidi"/>
          <w:sz w:val="24"/>
          <w:szCs w:val="24"/>
        </w:rPr>
        <w:t xml:space="preserve"> of newsletter, “ </w:t>
      </w:r>
      <w:proofErr w:type="spellStart"/>
      <w:r w:rsidR="00FC217A">
        <w:rPr>
          <w:rFonts w:asciiTheme="majorBidi" w:hAnsiTheme="majorBidi" w:cstheme="majorBidi"/>
          <w:sz w:val="24"/>
          <w:szCs w:val="24"/>
        </w:rPr>
        <w:t>Journée</w:t>
      </w:r>
      <w:proofErr w:type="spellEnd"/>
      <w:r w:rsidR="00FC21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217A">
        <w:rPr>
          <w:rFonts w:asciiTheme="majorBidi" w:hAnsiTheme="majorBidi" w:cstheme="majorBidi"/>
          <w:sz w:val="24"/>
          <w:szCs w:val="24"/>
        </w:rPr>
        <w:t>P</w:t>
      </w:r>
      <w:r w:rsidRPr="00CE0BBC">
        <w:rPr>
          <w:rFonts w:asciiTheme="majorBidi" w:hAnsiTheme="majorBidi" w:cstheme="majorBidi"/>
          <w:sz w:val="24"/>
          <w:szCs w:val="24"/>
        </w:rPr>
        <w:t>orte</w:t>
      </w:r>
      <w:r w:rsidR="00FC217A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="00FC21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C217A">
        <w:rPr>
          <w:rFonts w:asciiTheme="majorBidi" w:hAnsiTheme="majorBidi" w:cstheme="majorBidi"/>
          <w:sz w:val="24"/>
          <w:szCs w:val="24"/>
        </w:rPr>
        <w:t>O</w:t>
      </w:r>
      <w:r w:rsidRPr="00CE0BBC">
        <w:rPr>
          <w:rFonts w:asciiTheme="majorBidi" w:hAnsiTheme="majorBidi" w:cstheme="majorBidi"/>
          <w:sz w:val="24"/>
          <w:szCs w:val="24"/>
        </w:rPr>
        <w:t>uverte</w:t>
      </w:r>
      <w:r w:rsidR="00FC217A">
        <w:rPr>
          <w:rFonts w:asciiTheme="majorBidi" w:hAnsiTheme="majorBidi" w:cstheme="majorBidi"/>
          <w:sz w:val="24"/>
          <w:szCs w:val="24"/>
        </w:rPr>
        <w:t>s</w:t>
      </w:r>
      <w:proofErr w:type="spellEnd"/>
      <w:r w:rsidR="00F77BE0">
        <w:rPr>
          <w:rFonts w:asciiTheme="majorBidi" w:hAnsiTheme="majorBidi" w:cstheme="majorBidi"/>
          <w:sz w:val="24"/>
          <w:szCs w:val="24"/>
        </w:rPr>
        <w:t>”</w:t>
      </w:r>
      <w:r w:rsidRPr="00CE0BBC">
        <w:rPr>
          <w:rFonts w:asciiTheme="majorBidi" w:hAnsiTheme="majorBidi" w:cstheme="majorBidi"/>
          <w:sz w:val="24"/>
          <w:szCs w:val="24"/>
        </w:rPr>
        <w:t>, s</w:t>
      </w:r>
      <w:r w:rsidR="00B82703" w:rsidRPr="00CE0BBC">
        <w:rPr>
          <w:rFonts w:asciiTheme="majorBidi" w:hAnsiTheme="majorBidi" w:cstheme="majorBidi"/>
          <w:sz w:val="24"/>
          <w:szCs w:val="24"/>
        </w:rPr>
        <w:t>chedule for research activities, publication on website (</w:t>
      </w:r>
      <w:proofErr w:type="spellStart"/>
      <w:r w:rsidR="00B82703" w:rsidRPr="00CE0BBC">
        <w:rPr>
          <w:rFonts w:asciiTheme="majorBidi" w:hAnsiTheme="majorBidi" w:cstheme="majorBidi"/>
          <w:sz w:val="24"/>
          <w:szCs w:val="24"/>
        </w:rPr>
        <w:t>google</w:t>
      </w:r>
      <w:proofErr w:type="spellEnd"/>
      <w:r w:rsidR="00B82703" w:rsidRPr="00CE0BBC">
        <w:rPr>
          <w:rFonts w:asciiTheme="majorBidi" w:hAnsiTheme="majorBidi" w:cstheme="majorBidi"/>
          <w:sz w:val="24"/>
          <w:szCs w:val="24"/>
        </w:rPr>
        <w:t xml:space="preserve"> sites)</w:t>
      </w:r>
    </w:p>
    <w:p w:rsidR="00FC217A" w:rsidRDefault="00FC217A" w:rsidP="00FC217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open door day is being prepared for the second year</w:t>
      </w:r>
    </w:p>
    <w:p w:rsidR="00FC217A" w:rsidRDefault="00FC217A" w:rsidP="00FC217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Research activities are archived and monitored</w:t>
      </w:r>
    </w:p>
    <w:p w:rsidR="00FC217A" w:rsidRPr="00CE0BBC" w:rsidRDefault="00FC217A" w:rsidP="00FC217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Suggestion of policy is made for researchers</w:t>
      </w:r>
    </w:p>
    <w:p w:rsidR="00BD1ABB" w:rsidRDefault="00FC217A" w:rsidP="00CE0B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Encourage</w:t>
      </w:r>
      <w:r w:rsidR="00BD1ABB" w:rsidRPr="00CE0BBC">
        <w:rPr>
          <w:rFonts w:asciiTheme="majorBidi" w:hAnsiTheme="majorBidi" w:cstheme="majorBidi"/>
          <w:sz w:val="24"/>
          <w:szCs w:val="24"/>
        </w:rPr>
        <w:t xml:space="preserve"> the publication of results in established and recognized journals and sites. </w:t>
      </w:r>
    </w:p>
    <w:p w:rsidR="00FC217A" w:rsidRPr="00CE0BBC" w:rsidRDefault="00FC217A" w:rsidP="00FC217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Help is being given for researchers for this sake</w:t>
      </w:r>
    </w:p>
    <w:p w:rsidR="00326D37" w:rsidRDefault="00326D37" w:rsidP="00CE0BB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E0BBC">
        <w:rPr>
          <w:rFonts w:asciiTheme="majorBidi" w:hAnsiTheme="majorBidi" w:cstheme="majorBidi"/>
          <w:sz w:val="24"/>
          <w:szCs w:val="24"/>
        </w:rPr>
        <w:t>Support the integration of new researchers and support the mobility inside and outside the country</w:t>
      </w:r>
      <w:r w:rsidR="00FC217A">
        <w:rPr>
          <w:rFonts w:asciiTheme="majorBidi" w:hAnsiTheme="majorBidi" w:cstheme="majorBidi"/>
          <w:sz w:val="24"/>
          <w:szCs w:val="24"/>
        </w:rPr>
        <w:t xml:space="preserve">: </w:t>
      </w:r>
    </w:p>
    <w:p w:rsidR="00FC217A" w:rsidRDefault="00FC217A" w:rsidP="00FC217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Mobility of Masters and PhD students to European and American research laboratories is ensured yearly</w:t>
      </w:r>
    </w:p>
    <w:p w:rsidR="00FC217A" w:rsidRDefault="00FC217A" w:rsidP="00FC217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Mobility of teachers is encouraged, whether for research perfecting or for Ability to Direct research diploma (HDR) preparation</w:t>
      </w:r>
    </w:p>
    <w:p w:rsidR="00FC217A" w:rsidRPr="00CE0BBC" w:rsidRDefault="00FC217A" w:rsidP="00FC217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Multiuniversity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projects are ongoing and encouraged </w:t>
      </w:r>
    </w:p>
    <w:p w:rsidR="00F55D14" w:rsidRPr="00CE0BBC" w:rsidRDefault="00F55D14" w:rsidP="006B10C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55D14" w:rsidRPr="00FC217A" w:rsidRDefault="00F55D14" w:rsidP="006B10C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C217A">
        <w:rPr>
          <w:rFonts w:asciiTheme="majorBidi" w:hAnsiTheme="majorBidi" w:cstheme="majorBidi"/>
          <w:b/>
          <w:bCs/>
          <w:sz w:val="24"/>
          <w:szCs w:val="24"/>
        </w:rPr>
        <w:t>Goal 2: Promote research through nationally-recognized educational and training programs.</w:t>
      </w:r>
    </w:p>
    <w:p w:rsidR="00F55D14" w:rsidRDefault="004A5CC9" w:rsidP="00CE0B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E0BBC">
        <w:rPr>
          <w:rFonts w:asciiTheme="majorBidi" w:hAnsiTheme="majorBidi" w:cstheme="majorBidi"/>
          <w:sz w:val="24"/>
          <w:szCs w:val="24"/>
        </w:rPr>
        <w:t>Expand</w:t>
      </w:r>
      <w:r w:rsidR="00F55D14" w:rsidRPr="00CE0BBC">
        <w:rPr>
          <w:rFonts w:asciiTheme="majorBidi" w:hAnsiTheme="majorBidi" w:cstheme="majorBidi"/>
          <w:sz w:val="24"/>
          <w:szCs w:val="24"/>
        </w:rPr>
        <w:t xml:space="preserve"> the opportunities </w:t>
      </w:r>
      <w:r w:rsidRPr="00CE0BBC">
        <w:rPr>
          <w:rFonts w:asciiTheme="majorBidi" w:hAnsiTheme="majorBidi" w:cstheme="majorBidi"/>
          <w:sz w:val="24"/>
          <w:szCs w:val="24"/>
        </w:rPr>
        <w:t xml:space="preserve">for professional students </w:t>
      </w:r>
      <w:r w:rsidR="00F55D14" w:rsidRPr="00CE0BBC">
        <w:rPr>
          <w:rFonts w:asciiTheme="majorBidi" w:hAnsiTheme="majorBidi" w:cstheme="majorBidi"/>
          <w:sz w:val="24"/>
          <w:szCs w:val="24"/>
        </w:rPr>
        <w:t>to participate in research projects under the mentorship of internal and external PhD teachers</w:t>
      </w:r>
    </w:p>
    <w:p w:rsidR="00FC217A" w:rsidRPr="00CE0BBC" w:rsidRDefault="00FC217A" w:rsidP="00FC217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PharmD</w:t>
      </w:r>
      <w:proofErr w:type="spellEnd"/>
      <w:r>
        <w:rPr>
          <w:rFonts w:asciiTheme="majorBidi" w:hAnsiTheme="majorBidi" w:cstheme="majorBidi"/>
          <w:sz w:val="24"/>
          <w:szCs w:val="24"/>
        </w:rPr>
        <w:t>, Pharmacy, and masters’ thesis are all helping students to be involved in research</w:t>
      </w:r>
    </w:p>
    <w:p w:rsidR="00F55D14" w:rsidRDefault="00F55D14" w:rsidP="00CE0B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E0BBC">
        <w:rPr>
          <w:rFonts w:asciiTheme="majorBidi" w:hAnsiTheme="majorBidi" w:cstheme="majorBidi"/>
          <w:sz w:val="24"/>
          <w:szCs w:val="24"/>
        </w:rPr>
        <w:t>Expand resources related to the PhD programs</w:t>
      </w:r>
      <w:r w:rsidR="00FB3135" w:rsidRPr="00CE0BBC">
        <w:rPr>
          <w:rFonts w:asciiTheme="majorBidi" w:hAnsiTheme="majorBidi" w:cstheme="majorBidi"/>
          <w:sz w:val="24"/>
          <w:szCs w:val="24"/>
        </w:rPr>
        <w:t xml:space="preserve"> by securing external funding from multiple sources and agencies to build vital, sustainable research teams and research programs</w:t>
      </w:r>
      <w:r w:rsidRPr="00CE0BBC">
        <w:rPr>
          <w:rFonts w:asciiTheme="majorBidi" w:hAnsiTheme="majorBidi" w:cstheme="majorBidi"/>
          <w:sz w:val="24"/>
          <w:szCs w:val="24"/>
        </w:rPr>
        <w:t xml:space="preserve"> to increase national recognition and competitiveness</w:t>
      </w:r>
      <w:r w:rsidR="00BD1ABB" w:rsidRPr="00CE0BBC">
        <w:rPr>
          <w:rFonts w:asciiTheme="majorBidi" w:hAnsiTheme="majorBidi" w:cstheme="majorBidi"/>
          <w:sz w:val="24"/>
          <w:szCs w:val="24"/>
        </w:rPr>
        <w:t xml:space="preserve">, and prioritize the research programs </w:t>
      </w:r>
    </w:p>
    <w:p w:rsidR="00FC217A" w:rsidRDefault="00FC217A" w:rsidP="00FC217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Scholarships are given for students</w:t>
      </w:r>
    </w:p>
    <w:p w:rsidR="00FC217A" w:rsidRDefault="00FC217A" w:rsidP="00FC217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Research is financed by the university funds</w:t>
      </w:r>
    </w:p>
    <w:p w:rsidR="00FC217A" w:rsidRPr="00CE0BBC" w:rsidRDefault="00FC217A" w:rsidP="00FC217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Research is financed by exterior funds / CEDRE, CNRS, unrestricted grants from pharmaceutical companies…</w:t>
      </w:r>
    </w:p>
    <w:p w:rsidR="00F55D14" w:rsidRDefault="00F55D14" w:rsidP="00CE0B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E0BBC">
        <w:rPr>
          <w:rFonts w:asciiTheme="majorBidi" w:hAnsiTheme="majorBidi" w:cstheme="majorBidi"/>
          <w:sz w:val="24"/>
          <w:szCs w:val="24"/>
        </w:rPr>
        <w:t>Develop and implement post- graduate education and professional development programs.</w:t>
      </w:r>
    </w:p>
    <w:p w:rsidR="006B10CC" w:rsidRPr="00CE0BBC" w:rsidRDefault="006B10CC" w:rsidP="006B10C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Professional and research masters programs are numerous</w:t>
      </w:r>
    </w:p>
    <w:p w:rsidR="00740E06" w:rsidRDefault="00740E06" w:rsidP="00CE0B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E0BBC">
        <w:rPr>
          <w:rFonts w:asciiTheme="majorBidi" w:hAnsiTheme="majorBidi" w:cstheme="majorBidi"/>
          <w:sz w:val="24"/>
          <w:szCs w:val="24"/>
        </w:rPr>
        <w:t>Document the researches activities, results, budget, resources to enhance transparency, impact and outcomes</w:t>
      </w:r>
    </w:p>
    <w:p w:rsidR="006B10CC" w:rsidRPr="00CE0BBC" w:rsidRDefault="006B10CC" w:rsidP="006B10C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Documentation is available for activity research within the faculty</w:t>
      </w:r>
    </w:p>
    <w:p w:rsidR="00F55D14" w:rsidRPr="00CE0BBC" w:rsidRDefault="00F55D14" w:rsidP="00CE0BBC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55D14" w:rsidRPr="00FC217A" w:rsidRDefault="00F55D14" w:rsidP="00CE0BBC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FC217A">
        <w:rPr>
          <w:rFonts w:asciiTheme="majorBidi" w:hAnsiTheme="majorBidi" w:cstheme="majorBidi"/>
          <w:b/>
          <w:bCs/>
          <w:sz w:val="24"/>
          <w:szCs w:val="24"/>
        </w:rPr>
        <w:t xml:space="preserve">Goal 3: </w:t>
      </w:r>
      <w:r w:rsidR="001C1F78" w:rsidRPr="00FC217A">
        <w:rPr>
          <w:rFonts w:asciiTheme="majorBidi" w:hAnsiTheme="majorBidi" w:cstheme="majorBidi"/>
          <w:b/>
          <w:bCs/>
          <w:sz w:val="24"/>
          <w:szCs w:val="24"/>
        </w:rPr>
        <w:t>Evaluate and enhance the research infrastructure based on innovative programs and best practice models.</w:t>
      </w:r>
    </w:p>
    <w:p w:rsidR="001C1F78" w:rsidRDefault="00793176" w:rsidP="00CE0B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E0BBC">
        <w:rPr>
          <w:rFonts w:asciiTheme="majorBidi" w:hAnsiTheme="majorBidi" w:cstheme="majorBidi"/>
          <w:sz w:val="24"/>
          <w:szCs w:val="24"/>
        </w:rPr>
        <w:t>Develop and implem</w:t>
      </w:r>
      <w:r w:rsidR="00BD1ABB" w:rsidRPr="00CE0BBC">
        <w:rPr>
          <w:rFonts w:asciiTheme="majorBidi" w:hAnsiTheme="majorBidi" w:cstheme="majorBidi"/>
          <w:sz w:val="24"/>
          <w:szCs w:val="24"/>
        </w:rPr>
        <w:t>ent clear Policies &amp; Procedures to enhance innovation</w:t>
      </w:r>
    </w:p>
    <w:p w:rsidR="006B10CC" w:rsidRPr="00CE0BBC" w:rsidRDefault="006B10CC" w:rsidP="006B10C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Policies have been developed for recruitment and promotion, based mainly on innovation</w:t>
      </w:r>
    </w:p>
    <w:p w:rsidR="00164479" w:rsidRDefault="00164479" w:rsidP="00CE0B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E0BBC">
        <w:rPr>
          <w:rFonts w:asciiTheme="majorBidi" w:hAnsiTheme="majorBidi" w:cstheme="majorBidi"/>
          <w:sz w:val="24"/>
          <w:szCs w:val="24"/>
        </w:rPr>
        <w:t>Build a recognized national Center of Excellence for research</w:t>
      </w:r>
      <w:r w:rsidR="00BD1ABB" w:rsidRPr="00CE0BBC">
        <w:rPr>
          <w:rFonts w:asciiTheme="majorBidi" w:hAnsiTheme="majorBidi" w:cstheme="majorBidi"/>
          <w:sz w:val="24"/>
          <w:szCs w:val="24"/>
        </w:rPr>
        <w:t xml:space="preserve"> after reassessment of resources and team structure to support the innovation</w:t>
      </w:r>
    </w:p>
    <w:p w:rsidR="006B10CC" w:rsidRPr="00CE0BBC" w:rsidRDefault="006B10CC" w:rsidP="006B10C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research center is being prepared and will soon be launched</w:t>
      </w:r>
    </w:p>
    <w:p w:rsidR="00793176" w:rsidRDefault="00793176" w:rsidP="00CE0B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E0BBC">
        <w:rPr>
          <w:rFonts w:asciiTheme="majorBidi" w:hAnsiTheme="majorBidi" w:cstheme="majorBidi"/>
          <w:sz w:val="24"/>
          <w:szCs w:val="24"/>
        </w:rPr>
        <w:t>Develop clear SOP for grant applications and provision.</w:t>
      </w:r>
    </w:p>
    <w:p w:rsidR="006B10CC" w:rsidRPr="00CE0BBC" w:rsidRDefault="006B10CC" w:rsidP="006B10C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Policy &amp; procedure already established by the University </w:t>
      </w:r>
    </w:p>
    <w:p w:rsidR="006B10CC" w:rsidRDefault="00793176" w:rsidP="00CE0B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E0BBC">
        <w:rPr>
          <w:rFonts w:asciiTheme="majorBidi" w:hAnsiTheme="majorBidi" w:cstheme="majorBidi"/>
          <w:sz w:val="24"/>
          <w:szCs w:val="24"/>
        </w:rPr>
        <w:t xml:space="preserve">Develop effective reporting and budgeting system to </w:t>
      </w:r>
      <w:r w:rsidR="006B10CC">
        <w:rPr>
          <w:rFonts w:asciiTheme="majorBidi" w:hAnsiTheme="majorBidi" w:cstheme="majorBidi"/>
          <w:sz w:val="24"/>
          <w:szCs w:val="24"/>
        </w:rPr>
        <w:t>support the research activities</w:t>
      </w:r>
    </w:p>
    <w:p w:rsidR="00793176" w:rsidRPr="00CE0BBC" w:rsidRDefault="006B10CC" w:rsidP="006B10CC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Already established by the University</w:t>
      </w:r>
      <w:r w:rsidR="00793176" w:rsidRPr="00CE0BBC">
        <w:rPr>
          <w:rFonts w:asciiTheme="majorBidi" w:hAnsiTheme="majorBidi" w:cstheme="majorBidi"/>
          <w:sz w:val="24"/>
          <w:szCs w:val="24"/>
        </w:rPr>
        <w:t xml:space="preserve"> </w:t>
      </w:r>
    </w:p>
    <w:p w:rsidR="00881043" w:rsidRPr="00CE0BBC" w:rsidRDefault="00881043" w:rsidP="00CE0B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E0BBC">
        <w:rPr>
          <w:rFonts w:asciiTheme="majorBidi" w:hAnsiTheme="majorBidi" w:cstheme="majorBidi"/>
          <w:sz w:val="24"/>
          <w:szCs w:val="24"/>
        </w:rPr>
        <w:t>Create a clear polic</w:t>
      </w:r>
      <w:r w:rsidR="006B10CC">
        <w:rPr>
          <w:rFonts w:asciiTheme="majorBidi" w:hAnsiTheme="majorBidi" w:cstheme="majorBidi"/>
          <w:sz w:val="24"/>
          <w:szCs w:val="24"/>
        </w:rPr>
        <w:t>y for promotion and recruitment (1a)</w:t>
      </w:r>
      <w:r w:rsidRPr="00CE0BBC">
        <w:rPr>
          <w:rFonts w:asciiTheme="majorBidi" w:hAnsiTheme="majorBidi" w:cstheme="majorBidi"/>
          <w:sz w:val="24"/>
          <w:szCs w:val="24"/>
        </w:rPr>
        <w:t xml:space="preserve"> </w:t>
      </w:r>
    </w:p>
    <w:p w:rsidR="00793176" w:rsidRPr="00CE0BBC" w:rsidRDefault="00793176" w:rsidP="00CE0BBC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12AE1" w:rsidRDefault="00A12AE1" w:rsidP="00CE0BBC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MediumShading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2"/>
        <w:gridCol w:w="1643"/>
        <w:gridCol w:w="1698"/>
        <w:gridCol w:w="1564"/>
        <w:gridCol w:w="1267"/>
        <w:gridCol w:w="1622"/>
      </w:tblGrid>
      <w:tr w:rsidR="001355BA" w:rsidTr="001355BA">
        <w:trPr>
          <w:cnfStyle w:val="100000000000"/>
        </w:trPr>
        <w:tc>
          <w:tcPr>
            <w:cnfStyle w:val="001000000100"/>
            <w:tcW w:w="17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Teams/ Participants</w:t>
            </w:r>
          </w:p>
        </w:tc>
        <w:tc>
          <w:tcPr>
            <w:tcW w:w="16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Projects title and summary of activities</w:t>
            </w:r>
          </w:p>
        </w:tc>
        <w:tc>
          <w:tcPr>
            <w:tcW w:w="1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Resources</w:t>
            </w:r>
          </w:p>
        </w:tc>
        <w:tc>
          <w:tcPr>
            <w:tcW w:w="15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Fund sources/ partnerships</w:t>
            </w:r>
          </w:p>
        </w:tc>
        <w:tc>
          <w:tcPr>
            <w:tcW w:w="12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Budget allocation</w:t>
            </w:r>
          </w:p>
        </w:tc>
        <w:tc>
          <w:tcPr>
            <w:tcW w:w="16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55BA" w:rsidRDefault="001355BA" w:rsidP="001355BA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Duration </w:t>
            </w:r>
          </w:p>
        </w:tc>
      </w:tr>
      <w:tr w:rsidR="001355BA" w:rsidTr="001355BA">
        <w:trPr>
          <w:cnfStyle w:val="000000100000"/>
        </w:trPr>
        <w:tc>
          <w:tcPr>
            <w:cnfStyle w:val="001000000000"/>
            <w:tcW w:w="178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98" w:type="dxa"/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4" w:type="dxa"/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7" w:type="dxa"/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2" w:type="dxa"/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355BA" w:rsidTr="001355BA">
        <w:tc>
          <w:tcPr>
            <w:cnfStyle w:val="001000000000"/>
            <w:tcW w:w="178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98" w:type="dxa"/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4" w:type="dxa"/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7" w:type="dxa"/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2" w:type="dxa"/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355BA" w:rsidTr="001355BA">
        <w:trPr>
          <w:cnfStyle w:val="000000100000"/>
        </w:trPr>
        <w:tc>
          <w:tcPr>
            <w:cnfStyle w:val="001000000000"/>
            <w:tcW w:w="178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43" w:type="dxa"/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98" w:type="dxa"/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64" w:type="dxa"/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7" w:type="dxa"/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22" w:type="dxa"/>
          </w:tcPr>
          <w:p w:rsidR="001355BA" w:rsidRDefault="001355BA" w:rsidP="00CE0BBC">
            <w:pPr>
              <w:autoSpaceDE w:val="0"/>
              <w:autoSpaceDN w:val="0"/>
              <w:adjustRightInd w:val="0"/>
              <w:spacing w:line="360" w:lineRule="auto"/>
              <w:jc w:val="bot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CE0BBC" w:rsidRPr="00CE0BBC" w:rsidRDefault="00CE0BBC" w:rsidP="00CE0BBC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CE0BBC" w:rsidRPr="00CE0BBC" w:rsidSect="00F9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11E85"/>
    <w:multiLevelType w:val="hybridMultilevel"/>
    <w:tmpl w:val="8B360280"/>
    <w:lvl w:ilvl="0" w:tplc="039E1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B0C1C"/>
    <w:multiLevelType w:val="hybridMultilevel"/>
    <w:tmpl w:val="20D0567E"/>
    <w:lvl w:ilvl="0" w:tplc="071877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D77DC"/>
    <w:multiLevelType w:val="hybridMultilevel"/>
    <w:tmpl w:val="6AFE1EB2"/>
    <w:lvl w:ilvl="0" w:tplc="AA842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24E07"/>
    <w:multiLevelType w:val="hybridMultilevel"/>
    <w:tmpl w:val="0082DFDC"/>
    <w:lvl w:ilvl="0" w:tplc="11FC3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60992"/>
    <w:multiLevelType w:val="hybridMultilevel"/>
    <w:tmpl w:val="23829BCE"/>
    <w:lvl w:ilvl="0" w:tplc="9D38E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030D7B"/>
    <w:multiLevelType w:val="hybridMultilevel"/>
    <w:tmpl w:val="8B360280"/>
    <w:lvl w:ilvl="0" w:tplc="039E1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A631F4"/>
    <w:multiLevelType w:val="hybridMultilevel"/>
    <w:tmpl w:val="5260B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621E0"/>
    <w:multiLevelType w:val="hybridMultilevel"/>
    <w:tmpl w:val="0082DFDC"/>
    <w:lvl w:ilvl="0" w:tplc="11FC3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F3832"/>
    <w:multiLevelType w:val="hybridMultilevel"/>
    <w:tmpl w:val="B58AE956"/>
    <w:lvl w:ilvl="0" w:tplc="CA860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947C2"/>
    <w:multiLevelType w:val="hybridMultilevel"/>
    <w:tmpl w:val="A48E7720"/>
    <w:lvl w:ilvl="0" w:tplc="7C427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EC31F4"/>
    <w:multiLevelType w:val="hybridMultilevel"/>
    <w:tmpl w:val="5260B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62C7"/>
    <w:rsid w:val="001355BA"/>
    <w:rsid w:val="00164479"/>
    <w:rsid w:val="001C1F78"/>
    <w:rsid w:val="00304BFE"/>
    <w:rsid w:val="00326D37"/>
    <w:rsid w:val="0035118F"/>
    <w:rsid w:val="004A5CC9"/>
    <w:rsid w:val="005967FF"/>
    <w:rsid w:val="006B10CC"/>
    <w:rsid w:val="00740E06"/>
    <w:rsid w:val="00793176"/>
    <w:rsid w:val="00881043"/>
    <w:rsid w:val="00A12AE1"/>
    <w:rsid w:val="00B82703"/>
    <w:rsid w:val="00BD1ABB"/>
    <w:rsid w:val="00CE0BBC"/>
    <w:rsid w:val="00DD0578"/>
    <w:rsid w:val="00E762C7"/>
    <w:rsid w:val="00F55D14"/>
    <w:rsid w:val="00F77BE0"/>
    <w:rsid w:val="00F933CB"/>
    <w:rsid w:val="00FB3135"/>
    <w:rsid w:val="00FC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D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0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1355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C21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21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D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0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1355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230B-7901-4F2B-8402-FE9D1644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user</cp:lastModifiedBy>
  <cp:revision>19</cp:revision>
  <dcterms:created xsi:type="dcterms:W3CDTF">2014-05-21T09:54:00Z</dcterms:created>
  <dcterms:modified xsi:type="dcterms:W3CDTF">2014-05-23T16:51:00Z</dcterms:modified>
</cp:coreProperties>
</file>