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2F" w:rsidRDefault="00504A93" w:rsidP="00504A93">
      <w:pPr>
        <w:pStyle w:val="Title"/>
        <w:rPr>
          <w:sz w:val="36"/>
          <w:szCs w:val="36"/>
          <w:lang w:val="fr-FR"/>
        </w:rPr>
      </w:pPr>
      <w:r w:rsidRPr="00504A93">
        <w:rPr>
          <w:sz w:val="36"/>
          <w:szCs w:val="36"/>
          <w:lang w:val="fr-FR"/>
        </w:rPr>
        <w:t>Nouvelle distribution des départements</w:t>
      </w:r>
    </w:p>
    <w:p w:rsidR="00504A93" w:rsidRDefault="00504A93" w:rsidP="00504A93">
      <w:pPr>
        <w:rPr>
          <w:lang w:val="fr-FR"/>
        </w:rPr>
      </w:pPr>
    </w:p>
    <w:p w:rsidR="00504A93" w:rsidRDefault="00504A93" w:rsidP="00504A93">
      <w:pPr>
        <w:pStyle w:val="ListParagraph"/>
        <w:numPr>
          <w:ilvl w:val="0"/>
          <w:numId w:val="1"/>
        </w:numPr>
        <w:rPr>
          <w:lang w:val="fr-FR"/>
        </w:rPr>
      </w:pPr>
      <w:r w:rsidRPr="00504A93">
        <w:rPr>
          <w:b/>
          <w:bCs/>
          <w:lang w:val="fr-FR"/>
        </w:rPr>
        <w:t>Sciences de base :</w:t>
      </w:r>
      <w:r>
        <w:rPr>
          <w:lang w:val="fr-FR"/>
        </w:rPr>
        <w:t xml:space="preserve"> </w:t>
      </w:r>
      <w:r w:rsidR="009B02DE">
        <w:rPr>
          <w:lang w:val="fr-FR"/>
        </w:rPr>
        <w:t xml:space="preserve">Cours, TD et TP de </w:t>
      </w:r>
      <w:r>
        <w:rPr>
          <w:lang w:val="fr-FR"/>
        </w:rPr>
        <w:t>Matières en relation avec la biologie, la chimie, la physique, et les mathématiques, statistiques, biochimie et biophysique, méthodes d’analyse, enzymologie, microbiologie et dérivés,</w:t>
      </w:r>
      <w:r w:rsidRPr="00504A93">
        <w:rPr>
          <w:lang w:val="fr-FR"/>
        </w:rPr>
        <w:t xml:space="preserve"> </w:t>
      </w:r>
      <w:r>
        <w:rPr>
          <w:lang w:val="fr-FR"/>
        </w:rPr>
        <w:t>Biologie Moléculaire et génie génétique</w:t>
      </w:r>
      <w:r w:rsidR="00BF3700">
        <w:rPr>
          <w:lang w:val="fr-FR"/>
        </w:rPr>
        <w:t>, physiologie</w:t>
      </w:r>
      <w:r w:rsidR="009B02DE">
        <w:rPr>
          <w:lang w:val="fr-FR"/>
        </w:rPr>
        <w:t>..</w:t>
      </w:r>
      <w:r>
        <w:rPr>
          <w:lang w:val="fr-FR"/>
        </w:rPr>
        <w:t xml:space="preserve">. </w:t>
      </w:r>
    </w:p>
    <w:p w:rsidR="00504A93" w:rsidRDefault="00504A93" w:rsidP="00BF3700">
      <w:pPr>
        <w:pStyle w:val="ListParagraph"/>
        <w:numPr>
          <w:ilvl w:val="0"/>
          <w:numId w:val="1"/>
        </w:numPr>
        <w:rPr>
          <w:lang w:val="fr-FR"/>
        </w:rPr>
      </w:pPr>
      <w:r w:rsidRPr="00504A93">
        <w:rPr>
          <w:b/>
          <w:bCs/>
          <w:lang w:val="fr-FR"/>
        </w:rPr>
        <w:t>Sciences du médicament :</w:t>
      </w:r>
      <w:r>
        <w:rPr>
          <w:lang w:val="fr-FR"/>
        </w:rPr>
        <w:t xml:space="preserve"> </w:t>
      </w:r>
      <w:r w:rsidR="009B02DE">
        <w:rPr>
          <w:lang w:val="fr-FR"/>
        </w:rPr>
        <w:t xml:space="preserve">Cours, TD et TP de </w:t>
      </w:r>
      <w:r>
        <w:rPr>
          <w:lang w:val="fr-FR"/>
        </w:rPr>
        <w:t>Thérapie génique, pharmacognosie, plantes toxiques, pharmacologie générale et spéciale, chimie thérapeutique, pharmacocinétique, biopharmacie, interactions médicamenteuses, calculs pharmaceutiques, dermopharmacie, toxicologie et cours d</w:t>
      </w:r>
      <w:r w:rsidRPr="00504A93">
        <w:rPr>
          <w:lang w:val="fr-FR"/>
        </w:rPr>
        <w:t xml:space="preserve">érivés, </w:t>
      </w:r>
      <w:r w:rsidR="00BF3700">
        <w:rPr>
          <w:lang w:val="fr-FR"/>
        </w:rPr>
        <w:t>radio-pharmacie,</w:t>
      </w:r>
      <w:r w:rsidR="00BF3700" w:rsidRPr="00504A93">
        <w:rPr>
          <w:lang w:val="fr-FR"/>
        </w:rPr>
        <w:t xml:space="preserve"> </w:t>
      </w:r>
      <w:r w:rsidRPr="00504A93">
        <w:rPr>
          <w:lang w:val="fr-FR"/>
        </w:rPr>
        <w:t xml:space="preserve">génie pharmaceutique et formes innovantes, initiation à la connaissance du médicament, produits biologiques. </w:t>
      </w:r>
    </w:p>
    <w:p w:rsidR="00EF5A1D" w:rsidRPr="00BF3700" w:rsidRDefault="00504A93" w:rsidP="00BF370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 w:rsidRPr="00EF5A1D">
        <w:rPr>
          <w:b/>
          <w:bCs/>
          <w:lang w:val="fr-FR"/>
        </w:rPr>
        <w:t>Pratique professionnelle :</w:t>
      </w:r>
      <w:r>
        <w:rPr>
          <w:lang w:val="fr-FR"/>
        </w:rPr>
        <w:t xml:space="preserve"> Assurance qualité, contrôle qualité, </w:t>
      </w:r>
      <w:r w:rsidR="00BF3700">
        <w:rPr>
          <w:lang w:val="fr-FR"/>
        </w:rPr>
        <w:t xml:space="preserve">préparations pharmaceutiques et galéniques, </w:t>
      </w:r>
      <w:r>
        <w:rPr>
          <w:lang w:val="fr-FR"/>
        </w:rPr>
        <w:t>économie, gestion de l’entre</w:t>
      </w:r>
      <w:r w:rsidR="00EF5A1D">
        <w:rPr>
          <w:lang w:val="fr-FR"/>
        </w:rPr>
        <w:t>prise, marke</w:t>
      </w:r>
      <w:r>
        <w:rPr>
          <w:lang w:val="fr-FR"/>
        </w:rPr>
        <w:t>ting, pharmaci</w:t>
      </w:r>
      <w:r w:rsidR="00BF3700">
        <w:rPr>
          <w:lang w:val="fr-FR"/>
        </w:rPr>
        <w:t>e industrielle, p</w:t>
      </w:r>
      <w:r>
        <w:rPr>
          <w:lang w:val="fr-FR"/>
        </w:rPr>
        <w:t>ratique off</w:t>
      </w:r>
      <w:r w:rsidR="00EF5A1D">
        <w:rPr>
          <w:lang w:val="fr-FR"/>
        </w:rPr>
        <w:t>i</w:t>
      </w:r>
      <w:r>
        <w:rPr>
          <w:lang w:val="fr-FR"/>
        </w:rPr>
        <w:t>cinal</w:t>
      </w:r>
      <w:r w:rsidR="00EF5A1D">
        <w:rPr>
          <w:lang w:val="fr-FR"/>
        </w:rPr>
        <w:t>e et cours dérivés, légi</w:t>
      </w:r>
      <w:r w:rsidR="000C5D3D">
        <w:rPr>
          <w:lang w:val="fr-FR"/>
        </w:rPr>
        <w:t>s</w:t>
      </w:r>
      <w:r w:rsidR="00EF5A1D">
        <w:rPr>
          <w:lang w:val="fr-FR"/>
        </w:rPr>
        <w:t>lations, pharmacie hospitali</w:t>
      </w:r>
      <w:r w:rsidR="00EF5A1D">
        <w:rPr>
          <w:rFonts w:ascii="Sylfaen" w:hAnsi="Sylfaen"/>
          <w:lang w:val="fr-FR"/>
        </w:rPr>
        <w:t>è</w:t>
      </w:r>
      <w:r w:rsidR="00EF5A1D">
        <w:rPr>
          <w:lang w:val="fr-FR"/>
        </w:rPr>
        <w:t>re,</w:t>
      </w:r>
      <w:r w:rsidR="00BF3700">
        <w:rPr>
          <w:lang w:val="fr-FR"/>
        </w:rPr>
        <w:t> ; b</w:t>
      </w:r>
      <w:r w:rsidR="000C5D3D" w:rsidRPr="00BF3700">
        <w:rPr>
          <w:lang w:val="fr-FR"/>
        </w:rPr>
        <w:t xml:space="preserve">ioéthique, droit du patient, droits de l’homme, informatique, langues, communication, coaching, … </w:t>
      </w:r>
      <w:r w:rsidR="00BF3700" w:rsidRPr="00BF3700">
        <w:rPr>
          <w:b/>
          <w:bCs/>
          <w:lang w:val="fr-FR"/>
        </w:rPr>
        <w:t>Stages (sauf stage clinique</w:t>
      </w:r>
      <w:r w:rsidR="009B02DE">
        <w:rPr>
          <w:b/>
          <w:bCs/>
          <w:lang w:val="fr-FR"/>
        </w:rPr>
        <w:t xml:space="preserve"> et stages de masters</w:t>
      </w:r>
      <w:r w:rsidR="00BF3700" w:rsidRPr="00BF3700">
        <w:rPr>
          <w:b/>
          <w:bCs/>
          <w:lang w:val="fr-FR"/>
        </w:rPr>
        <w:t>)</w:t>
      </w:r>
      <w:r w:rsidR="00BF3700">
        <w:rPr>
          <w:b/>
          <w:bCs/>
          <w:lang w:val="fr-FR"/>
        </w:rPr>
        <w:t>.</w:t>
      </w:r>
    </w:p>
    <w:p w:rsidR="000C5D3D" w:rsidRDefault="00716987" w:rsidP="00BF370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bCs/>
          <w:lang w:val="fr-FR"/>
        </w:rPr>
        <w:t>C</w:t>
      </w:r>
      <w:r w:rsidR="000C5D3D">
        <w:rPr>
          <w:b/>
          <w:bCs/>
          <w:lang w:val="fr-FR"/>
        </w:rPr>
        <w:t>linique :</w:t>
      </w:r>
      <w:r w:rsidR="000C5D3D">
        <w:rPr>
          <w:lang w:val="fr-FR"/>
        </w:rPr>
        <w:t xml:space="preserve"> </w:t>
      </w:r>
      <w:r w:rsidR="000D777C">
        <w:rPr>
          <w:lang w:val="fr-FR"/>
        </w:rPr>
        <w:t>Bactériologie médicale, Virologie médicale, physiologie du stress et de l’exercice, secourisme, santé publique, dossier du patient, étude de cas</w:t>
      </w:r>
      <w:r w:rsidR="007D3936">
        <w:rPr>
          <w:lang w:val="fr-FR"/>
        </w:rPr>
        <w:t xml:space="preserve"> clinique</w:t>
      </w:r>
      <w:r w:rsidR="009B02DE">
        <w:rPr>
          <w:lang w:val="fr-FR"/>
        </w:rPr>
        <w:t>s</w:t>
      </w:r>
      <w:r w:rsidR="000D777C">
        <w:rPr>
          <w:lang w:val="fr-FR"/>
        </w:rPr>
        <w:t xml:space="preserve">, introduction pharmacie clinique, </w:t>
      </w:r>
      <w:r w:rsidR="007D3936">
        <w:rPr>
          <w:lang w:val="fr-FR"/>
        </w:rPr>
        <w:t>nutrition, nutrition clinique, pathologie clinique, pharmacie clinique spéciale, pharmacocinétique spéciale, sémiologie et pathologie, biochimie clinique, immunologie clinique,</w:t>
      </w:r>
      <w:r w:rsidR="009B02DE">
        <w:rPr>
          <w:lang w:val="fr-FR"/>
        </w:rPr>
        <w:t xml:space="preserve"> et</w:t>
      </w:r>
      <w:r w:rsidR="007D3936">
        <w:rPr>
          <w:lang w:val="fr-FR"/>
        </w:rPr>
        <w:t xml:space="preserve"> </w:t>
      </w:r>
      <w:r w:rsidR="007D3936" w:rsidRPr="009B02DE">
        <w:rPr>
          <w:lang w:val="fr-FR"/>
        </w:rPr>
        <w:t>stage clinique</w:t>
      </w:r>
      <w:r w:rsidR="00BF3700">
        <w:rPr>
          <w:b/>
          <w:bCs/>
          <w:lang w:val="fr-FR"/>
        </w:rPr>
        <w:t>.</w:t>
      </w:r>
    </w:p>
    <w:p w:rsidR="000C5D3D" w:rsidRPr="000C5D3D" w:rsidRDefault="000C5D3D" w:rsidP="009B02DE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 w:rsidRPr="000C5D3D">
        <w:rPr>
          <w:b/>
          <w:bCs/>
          <w:lang w:val="fr-FR"/>
        </w:rPr>
        <w:t>Recherche et Master</w:t>
      </w:r>
      <w:r w:rsidR="00BF3700">
        <w:rPr>
          <w:b/>
          <w:bCs/>
          <w:lang w:val="fr-FR"/>
        </w:rPr>
        <w:t>s</w:t>
      </w:r>
      <w:r w:rsidRPr="000C5D3D">
        <w:rPr>
          <w:b/>
          <w:bCs/>
          <w:lang w:val="fr-FR"/>
        </w:rPr>
        <w:t xml:space="preserve">: </w:t>
      </w:r>
      <w:r w:rsidR="007D3936" w:rsidRPr="007D3936">
        <w:rPr>
          <w:lang w:val="fr-FR"/>
        </w:rPr>
        <w:t>Recherche et bibliographie,</w:t>
      </w:r>
      <w:r w:rsidR="007D3936">
        <w:rPr>
          <w:lang w:val="fr-FR"/>
        </w:rPr>
        <w:t xml:space="preserve"> </w:t>
      </w:r>
      <w:r w:rsidR="00B1531D">
        <w:rPr>
          <w:lang w:val="fr-FR"/>
        </w:rPr>
        <w:t>Biostatistiques, Epidémiologie,</w:t>
      </w:r>
      <w:r w:rsidR="00B1531D" w:rsidRPr="007D3936">
        <w:rPr>
          <w:lang w:val="fr-FR"/>
        </w:rPr>
        <w:t xml:space="preserve"> </w:t>
      </w:r>
      <w:r w:rsidR="00B1531D">
        <w:rPr>
          <w:lang w:val="fr-FR"/>
        </w:rPr>
        <w:t xml:space="preserve">méthodologie des essais cliniques, </w:t>
      </w:r>
      <w:r w:rsidR="007D3936">
        <w:rPr>
          <w:lang w:val="fr-FR"/>
        </w:rPr>
        <w:t xml:space="preserve">cours </w:t>
      </w:r>
      <w:r w:rsidR="009B02DE">
        <w:rPr>
          <w:lang w:val="fr-FR"/>
        </w:rPr>
        <w:t xml:space="preserve">et stages </w:t>
      </w:r>
      <w:r w:rsidR="007D3936">
        <w:rPr>
          <w:lang w:val="fr-FR"/>
        </w:rPr>
        <w:t>des</w:t>
      </w:r>
      <w:r w:rsidR="007D3936" w:rsidRPr="007D3936">
        <w:rPr>
          <w:lang w:val="fr-FR"/>
        </w:rPr>
        <w:t xml:space="preserve"> Master 2</w:t>
      </w:r>
      <w:r w:rsidR="009B02DE">
        <w:rPr>
          <w:lang w:val="fr-FR"/>
        </w:rPr>
        <w:t xml:space="preserve"> professionnels et </w:t>
      </w:r>
      <w:r w:rsidR="007D3936">
        <w:rPr>
          <w:lang w:val="fr-FR"/>
        </w:rPr>
        <w:t xml:space="preserve"> recherche</w:t>
      </w:r>
      <w:r w:rsidR="007D3936" w:rsidRPr="007D3936">
        <w:rPr>
          <w:lang w:val="fr-FR"/>
        </w:rPr>
        <w:t>,</w:t>
      </w:r>
      <w:r w:rsidR="009B02DE">
        <w:rPr>
          <w:lang w:val="fr-FR"/>
        </w:rPr>
        <w:t xml:space="preserve"> Education continue (Du et DIU</w:t>
      </w:r>
      <w:r w:rsidR="00BF3700" w:rsidRPr="00BF3700">
        <w:rPr>
          <w:lang w:val="fr-FR"/>
        </w:rPr>
        <w:t>).</w:t>
      </w:r>
    </w:p>
    <w:p w:rsidR="00B1531D" w:rsidRPr="00B1531D" w:rsidRDefault="00B1531D" w:rsidP="00B1531D">
      <w:pPr>
        <w:ind w:left="360"/>
        <w:rPr>
          <w:b/>
          <w:bCs/>
          <w:lang w:val="fr-FR"/>
        </w:rPr>
      </w:pPr>
    </w:p>
    <w:sectPr w:rsidR="00B1531D" w:rsidRPr="00B1531D" w:rsidSect="0026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6FB5"/>
    <w:multiLevelType w:val="hybridMultilevel"/>
    <w:tmpl w:val="E95AA584"/>
    <w:lvl w:ilvl="0" w:tplc="4C3E4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A93"/>
    <w:rsid w:val="000C5D3D"/>
    <w:rsid w:val="000D777C"/>
    <w:rsid w:val="000E72E3"/>
    <w:rsid w:val="00264A2F"/>
    <w:rsid w:val="004B2A87"/>
    <w:rsid w:val="004F3FC7"/>
    <w:rsid w:val="00504A93"/>
    <w:rsid w:val="00716987"/>
    <w:rsid w:val="00744100"/>
    <w:rsid w:val="007D3936"/>
    <w:rsid w:val="00940E79"/>
    <w:rsid w:val="009B02DE"/>
    <w:rsid w:val="00B1531D"/>
    <w:rsid w:val="00BF3700"/>
    <w:rsid w:val="00DB0C6C"/>
    <w:rsid w:val="00EF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2013-06-07T08:55:00Z</cp:lastPrinted>
  <dcterms:created xsi:type="dcterms:W3CDTF">2013-06-07T06:50:00Z</dcterms:created>
  <dcterms:modified xsi:type="dcterms:W3CDTF">2014-07-03T06:13:00Z</dcterms:modified>
</cp:coreProperties>
</file>