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 Items flagged for verification are listed at the end.</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pPr>
        <w:keepNext/>
      </w:pPr>
      <w:r>
        <w:rPr>
          <w:rFonts w:ascii="Times New Roman" w:hAnsi="Times New Roman"/>
          <w:b/>
          <w:i w:val="0"/>
          <w:color w:val="152130"/>
          <w:sz w:val="30"/>
        </w:rPr>
        <w:t>Doing what we say — Q1 2026 in practice</w:t>
      </w:r>
    </w:p>
    <w:p>
      <w:r>
        <w:rPr>
          <w:b w:val="0"/>
          <w:i w:val="0"/>
          <w:sz w:val="21"/>
        </w:rPr>
        <w:t>Each standing claim in our investment- and risk-process is mapped below to what we actually did this quarter. The supporting detail sits in the holdings and tables that follow — so our claims can be checked against our actions.</w:t>
      </w:r>
    </w:p>
    <w:p>
      <w:pPr>
        <w:keepNext/>
      </w:pPr>
      <w:r>
        <w:rPr>
          <w:rFonts w:ascii="Times New Roman" w:hAnsi="Times New Roman"/>
          <w:b/>
          <w:i w:val="0"/>
          <w:color w:val="152130"/>
          <w:sz w:val="24"/>
        </w:rPr>
        <w:t>Investment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Selective; we won’t force deployment.</w:t>
            </w:r>
          </w:p>
        </w:tc>
        <w:tc>
          <w:tcPr>
            <w:tcW w:type="dxa" w:w="6480"/>
          </w:tcPr>
          <w:p>
            <w:pPr>
              <w:spacing w:after="40"/>
            </w:pPr>
            <w:r>
              <w:rPr>
                <w:b w:val="0"/>
                <w:i w:val="0"/>
                <w:sz w:val="19"/>
              </w:rPr>
              <w:t>Held ~6.9% cash and flagged difficulty finding value; we are sourcing in the UK and Japan rather than chase an expensive market.</w:t>
            </w:r>
          </w:p>
        </w:tc>
      </w:tr>
      <w:tr>
        <w:trPr>
          <w:cantSplit/>
        </w:trPr>
        <w:tc>
          <w:tcPr>
            <w:tcW w:type="dxa" w:w="3312"/>
          </w:tcPr>
          <w:p>
            <w:pPr>
              <w:spacing w:after="40"/>
            </w:pPr>
            <w:r>
              <w:rPr>
                <w:b/>
                <w:i w:val="0"/>
                <w:color w:val="152130"/>
                <w:sz w:val="20"/>
              </w:rPr>
              <w:t>Buy quality at a discount.</w:t>
            </w:r>
          </w:p>
        </w:tc>
        <w:tc>
          <w:tcPr>
            <w:tcW w:type="dxa" w:w="6480"/>
          </w:tcPr>
          <w:p>
            <w:pPr>
              <w:spacing w:after="40"/>
            </w:pPr>
            <w:r>
              <w:rPr>
                <w:b w:val="0"/>
                <w:i w:val="0"/>
                <w:sz w:val="19"/>
              </w:rPr>
              <w:t>Core holdings are dominant franchises bought on value — Auto Trader (~10× its nearest rival), Rightmove (~80% of portal time), Somero (~80% global share) at a cyclical low, TBK on ~2× normalised earnings.</w:t>
            </w:r>
          </w:p>
        </w:tc>
      </w:tr>
      <w:tr>
        <w:trPr>
          <w:cantSplit/>
        </w:trPr>
        <w:tc>
          <w:tcPr>
            <w:tcW w:type="dxa" w:w="3312"/>
          </w:tcPr>
          <w:p>
            <w:pPr>
              <w:spacing w:after="40"/>
            </w:pPr>
            <w:r>
              <w:rPr>
                <w:b/>
                <w:i w:val="0"/>
                <w:color w:val="152130"/>
                <w:sz w:val="20"/>
              </w:rPr>
              <w:t>Agreement before capital; determined, not forced, sellers.</w:t>
            </w:r>
          </w:p>
        </w:tc>
        <w:tc>
          <w:tcPr>
            <w:tcW w:type="dxa" w:w="6480"/>
          </w:tcPr>
          <w:p>
            <w:pPr>
              <w:spacing w:after="40"/>
            </w:pPr>
            <w:r>
              <w:rPr>
                <w:b w:val="0"/>
                <w:i w:val="0"/>
                <w:sz w:val="19"/>
              </w:rPr>
              <w:t>Tendered Zalaris into Norvestor’s NOK 100 cash offer (+37% on the day) — sold on a fair-value trigger, on the facts, not sentiment.</w:t>
            </w:r>
          </w:p>
        </w:tc>
      </w:tr>
      <w:tr>
        <w:trPr>
          <w:cantSplit/>
        </w:trPr>
        <w:tc>
          <w:tcPr>
            <w:tcW w:type="dxa" w:w="3312"/>
          </w:tcPr>
          <w:p>
            <w:pPr>
              <w:spacing w:after="40"/>
            </w:pPr>
            <w:r>
              <w:rPr>
                <w:b/>
                <w:i w:val="0"/>
                <w:color w:val="152130"/>
                <w:sz w:val="20"/>
              </w:rPr>
              <w:t>We create the value from the boardroom.</w:t>
            </w:r>
          </w:p>
        </w:tc>
        <w:tc>
          <w:tcPr>
            <w:tcW w:type="dxa" w:w="6480"/>
          </w:tcPr>
          <w:p>
            <w:pPr>
              <w:spacing w:after="40"/>
            </w:pPr>
            <w:r>
              <w:rPr>
                <w:b w:val="0"/>
                <w:i w:val="0"/>
                <w:sz w:val="19"/>
              </w:rPr>
              <w:t>Athanase Innovation: progressing a tax-free Lex Asea spin-off to unlock value, having realised ~NOK 143m of cash from the Zalaris exit. TBK: pursuing the operational plan to lift margins toward 10%.</w:t>
            </w:r>
          </w:p>
        </w:tc>
      </w:tr>
      <w:tr>
        <w:trPr>
          <w:cantSplit/>
        </w:trPr>
        <w:tc>
          <w:tcPr>
            <w:tcW w:type="dxa" w:w="3312"/>
          </w:tcPr>
          <w:p>
            <w:pPr>
              <w:spacing w:after="40"/>
            </w:pPr>
            <w:r>
              <w:rPr>
                <w:b/>
                <w:i w:val="0"/>
                <w:color w:val="152130"/>
                <w:sz w:val="20"/>
              </w:rPr>
              <w:t>Returns from earnings, not re-rating.</w:t>
            </w:r>
          </w:p>
        </w:tc>
        <w:tc>
          <w:tcPr>
            <w:tcW w:type="dxa" w:w="6480"/>
          </w:tcPr>
          <w:p>
            <w:pPr>
              <w:spacing w:after="40"/>
            </w:pPr>
            <w:r>
              <w:rPr>
                <w:b w:val="0"/>
                <w:i w:val="0"/>
                <w:sz w:val="19"/>
              </w:rPr>
              <w:t>Operating profit grew across the book — Röko EBITA +5% (SEK 415m), Tempest operating result up (sales +11%), TBK EBIT JPY 1.50bn (from 0.94bn).</w:t>
            </w:r>
          </w:p>
        </w:tc>
      </w:tr>
      <w:tr>
        <w:trPr>
          <w:cantSplit/>
        </w:trPr>
        <w:tc>
          <w:tcPr>
            <w:tcW w:type="dxa" w:w="3312"/>
          </w:tcPr>
          <w:p>
            <w:pPr>
              <w:spacing w:after="40"/>
            </w:pPr>
            <w:r>
              <w:rPr>
                <w:b/>
                <w:i w:val="0"/>
                <w:color w:val="152130"/>
                <w:sz w:val="20"/>
              </w:rPr>
              <w:t>Low cadence, high conviction.</w:t>
            </w:r>
          </w:p>
        </w:tc>
        <w:tc>
          <w:tcPr>
            <w:tcW w:type="dxa" w:w="6480"/>
          </w:tcPr>
          <w:p>
            <w:pPr>
              <w:spacing w:after="40"/>
            </w:pPr>
            <w:r>
              <w:rPr>
                <w:b w:val="0"/>
                <w:i w:val="0"/>
                <w:sz w:val="19"/>
              </w:rPr>
              <w:t>17 positions, the ten largest ~84% of NAV; no new platform forced in a quarter we judged expensive.</w:t>
            </w:r>
          </w:p>
        </w:tc>
      </w:tr>
    </w:tbl>
    <w:p>
      <w:pPr>
        <w:keepNext/>
      </w:pPr>
      <w:r>
        <w:rPr>
          <w:rFonts w:ascii="Times New Roman" w:hAnsi="Times New Roman"/>
          <w:b/>
          <w:i w:val="0"/>
          <w:color w:val="152130"/>
          <w:sz w:val="24"/>
        </w:rPr>
        <w:t>Risk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No leverage at the fund.</w:t>
            </w:r>
          </w:p>
        </w:tc>
        <w:tc>
          <w:tcPr>
            <w:tcW w:type="dxa" w:w="6480"/>
          </w:tcPr>
          <w:p>
            <w:pPr>
              <w:spacing w:after="40"/>
            </w:pPr>
            <w:r>
              <w:rPr>
                <w:b w:val="0"/>
                <w:i w:val="0"/>
                <w:sz w:val="19"/>
              </w:rPr>
              <w:t>Gross exposure 85.3% = net exposure 85.3% — zero fund-level leverage, with ~6.9% cash.</w:t>
            </w:r>
          </w:p>
        </w:tc>
      </w:tr>
      <w:tr>
        <w:trPr>
          <w:cantSplit/>
        </w:trPr>
        <w:tc>
          <w:tcPr>
            <w:tcW w:type="dxa" w:w="3312"/>
          </w:tcPr>
          <w:p>
            <w:pPr>
              <w:spacing w:after="40"/>
            </w:pPr>
            <w:r>
              <w:rPr>
                <w:b/>
                <w:i w:val="0"/>
                <w:color w:val="152130"/>
                <w:sz w:val="20"/>
              </w:rPr>
              <w:t>Sized and measured so no mark dominates.</w:t>
            </w:r>
          </w:p>
        </w:tc>
        <w:tc>
          <w:tcPr>
            <w:tcW w:type="dxa" w:w="6480"/>
          </w:tcPr>
          <w:p>
            <w:pPr>
              <w:spacing w:after="40"/>
            </w:pPr>
            <w:r>
              <w:rPr>
                <w:b w:val="0"/>
                <w:i w:val="0"/>
                <w:sz w:val="19"/>
              </w:rPr>
              <w:t>17 positions; downside risk 8.7%, 1-day 95% VaR 1.5%; a full liquidity profile disclosed (22.5% of NAV within one day).</w:t>
            </w:r>
          </w:p>
        </w:tc>
      </w:tr>
      <w:tr>
        <w:trPr>
          <w:cantSplit/>
        </w:trPr>
        <w:tc>
          <w:tcPr>
            <w:tcW w:type="dxa" w:w="3312"/>
          </w:tcPr>
          <w:p>
            <w:pPr>
              <w:spacing w:after="40"/>
            </w:pPr>
            <w:r>
              <w:rPr>
                <w:b/>
                <w:i w:val="0"/>
                <w:color w:val="152130"/>
                <w:sz w:val="20"/>
              </w:rPr>
              <w:t>Diversification across exposures.</w:t>
            </w:r>
          </w:p>
        </w:tc>
        <w:tc>
          <w:tcPr>
            <w:tcW w:type="dxa" w:w="6480"/>
          </w:tcPr>
          <w:p>
            <w:pPr>
              <w:spacing w:after="40"/>
            </w:pPr>
            <w:r>
              <w:rPr>
                <w:b w:val="0"/>
                <w:i w:val="0"/>
                <w:sz w:val="19"/>
              </w:rPr>
              <w:t>Spread across Nordic, UK and Japanese listings and across software, industrials, gaming, media and resources.</w:t>
            </w:r>
          </w:p>
        </w:tc>
      </w:tr>
      <w:tr>
        <w:trPr>
          <w:cantSplit/>
        </w:trPr>
        <w:tc>
          <w:tcPr>
            <w:tcW w:type="dxa" w:w="3312"/>
          </w:tcPr>
          <w:p>
            <w:pPr>
              <w:spacing w:after="40"/>
            </w:pPr>
            <w:r>
              <w:rPr>
                <w:b/>
                <w:i w:val="0"/>
                <w:color w:val="152130"/>
                <w:sz w:val="20"/>
              </w:rPr>
              <w:t>Mechanised discipline, not emotion.</w:t>
            </w:r>
          </w:p>
        </w:tc>
        <w:tc>
          <w:tcPr>
            <w:tcW w:type="dxa" w:w="6480"/>
          </w:tcPr>
          <w:p>
            <w:pPr>
              <w:spacing w:after="40"/>
            </w:pPr>
            <w:r>
              <w:rPr>
                <w:b w:val="0"/>
                <w:i w:val="0"/>
                <w:sz w:val="19"/>
              </w:rPr>
              <w:t>Acted on the Zalaris fair-value trigger; held cash rather than relax the valuation bar in a market we find expensive.</w:t>
            </w:r>
          </w:p>
        </w:tc>
      </w:tr>
      <w:tr>
        <w:trPr>
          <w:cantSplit/>
        </w:trPr>
        <w:tc>
          <w:tcPr>
            <w:tcW w:type="dxa" w:w="3312"/>
          </w:tcPr>
          <w:p>
            <w:pPr>
              <w:spacing w:after="40"/>
            </w:pPr>
            <w:r>
              <w:rPr>
                <w:b/>
                <w:i w:val="0"/>
                <w:color w:val="152130"/>
                <w:sz w:val="20"/>
              </w:rPr>
              <w:t>Quality cores; avoid permanent loss.</w:t>
            </w:r>
          </w:p>
        </w:tc>
        <w:tc>
          <w:tcPr>
            <w:tcW w:type="dxa" w:w="6480"/>
          </w:tcPr>
          <w:p>
            <w:pPr>
              <w:spacing w:after="40"/>
            </w:pPr>
            <w:r>
              <w:rPr>
                <w:b w:val="0"/>
                <w:i w:val="0"/>
                <w:sz w:val="19"/>
              </w:rPr>
              <w:t>Concentrated in durable market leaders; speculative exposure is limited and disclosed (e.g. NGEx held as exploration optionality).</w:t>
            </w:r>
          </w:p>
        </w:tc>
      </w:tr>
      <w:tr>
        <w:trPr>
          <w:cantSplit/>
        </w:trPr>
        <w:tc>
          <w:tcPr>
            <w:tcW w:type="dxa" w:w="3312"/>
          </w:tcPr>
          <w:p>
            <w:pPr>
              <w:spacing w:after="40"/>
            </w:pPr>
            <w:r>
              <w:rPr>
                <w:b/>
                <w:i w:val="0"/>
                <w:color w:val="152130"/>
                <w:sz w:val="20"/>
              </w:rPr>
              <w:t>Independent checks and full disclosure.</w:t>
            </w:r>
          </w:p>
        </w:tc>
        <w:tc>
          <w:tcPr>
            <w:tcW w:type="dxa" w:w="6480"/>
          </w:tcPr>
          <w:p>
            <w:pPr>
              <w:spacing w:after="40"/>
            </w:pPr>
            <w:r>
              <w:rPr>
                <w:b w:val="0"/>
                <w:i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spacing w:before="360" w:after="80"/>
      </w:pPr>
      <w:r>
        <w:rPr>
          <w:rFonts w:ascii="Times New Roman" w:hAnsi="Times New Roman"/>
          <w:b/>
          <w:color w:val="152130"/>
          <w:sz w:val="30"/>
        </w:rPr>
        <w:t>Portfolio holdings</w:t>
      </w:r>
    </w:p>
    <w:p>
      <w:pPr>
        <w:keepNext/>
        <w:spacing w:before="120" w:after="80"/>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278m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45m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5%</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2020</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board is investigating the conditions for a future corporate structure, and part of this investigation concerns the possibility of distributing subsidiaries tax-free via Lex Asea. The company will obtain the Swedish Tax Agency’s position on whether such a distribution is possible. After the spin-off, the board will evaluate the use of the cash, which could be distributed through a further share-buyback programme or a redemption.</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190m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62%</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2018</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a privately held subsidiary of Athanase Innovation; no public share-price or volume data is available.</w:t>
      </w:r>
    </w:p>
    <w:p>
      <w:pPr>
        <w:spacing w:after="0" w:before="0"/>
      </w:pPr>
      <w:r>
        <w:br w:type="page"/>
      </w:r>
    </w:p>
    <w:p>
      <w:pPr>
        <w:keepNext/>
        <w:spacing w:before="120" w:after="80"/>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360" w:after="80"/>
        <w:pBdr>
          <w:bottom w:val="single" w:sz="6" w:space="2" w:color="314359"/>
        </w:pBdr>
      </w:pPr>
      <w:r>
        <w:rPr>
          <w:rFonts w:ascii="Times New Roman" w:hAnsi="Times New Roman"/>
          <w:b/>
          <w:color w:val="152130"/>
          <w:sz w:val="30"/>
        </w:rPr>
        <w:t>Notes &amp; items to verify</w:t>
      </w:r>
    </w:p>
    <w:p>
      <w:pPr>
        <w:spacing w:before="40" w:after="80" w:line="269" w:lineRule="auto"/>
        <w:jc w:val="left"/>
      </w:pPr>
      <w:r>
        <w:rPr>
          <w:b w:val="0"/>
          <w:i w:val="0"/>
          <w:sz w:val="21"/>
        </w:rPr>
        <w:t>The following are not language issues; figures are reproduced as printed and should be checked against source data:</w:t>
      </w:r>
    </w:p>
    <w:p>
      <w:pPr>
        <w:pStyle w:val="ListBullet"/>
        <w:spacing w:after="20"/>
      </w:pPr>
      <w:r>
        <w:rPr>
          <w:sz w:val="21"/>
        </w:rPr>
        <w:t>Unfilled placeholders in the liquidity section: “XX%” liquidation share and haircut, and “Within redemption period: X%”.</w:t>
      </w:r>
    </w:p>
    <w:p>
      <w:pPr>
        <w:pStyle w:val="ListBullet"/>
        <w:spacing w:after="20"/>
      </w:pPr>
      <w:r>
        <w:rPr>
          <w:sz w:val="21"/>
        </w:rPr>
        <w:t>Template/placeholder residue in the source: a repeated facts block (SEK 104m mcap, SEK 95m EV, 20% ownership, “Since 2019”) and a Net Revenue series 300/340/424/469/486/276 appear beside more than one holding (and do not match them). These residual tables have been omitted rather than misattributed. A separate 108/106 MSEK block with a 340/424/469/486/582/132 series is similarly inconsistent.</w:t>
      </w:r>
    </w:p>
    <w:p>
      <w:pPr>
        <w:pStyle w:val="ListBullet"/>
        <w:spacing w:after="20"/>
      </w:pPr>
      <w:r>
        <w:rPr>
          <w:sz w:val="21"/>
        </w:rPr>
        <w:t>TBK market cap/EV are labelled “BN JPY” in the source, which is inconsistent with ¥55bn revenue — most likely a unit error; reproduced as printed.</w:t>
      </w:r>
    </w:p>
    <w:p>
      <w:pPr>
        <w:pStyle w:val="ListBullet"/>
        <w:spacing w:after="20"/>
      </w:pPr>
      <w:r>
        <w:rPr>
          <w:sz w:val="21"/>
        </w:rPr>
        <w:t>Norvestor offer for Zalaris: “NOK 100” assumed to be per share.</w:t>
      </w:r>
    </w:p>
    <w:p>
      <w:pPr>
        <w:pStyle w:val="ListBullet"/>
        <w:spacing w:after="20"/>
      </w:pPr>
      <w:r>
        <w:rPr>
          <w:sz w:val="21"/>
        </w:rPr>
        <w:t>Zutec, Evolution and NGEx had no self-consistent financial-results table in the source (narrative figures only), so only their key-facts boxes are shown.</w:t>
      </w:r>
    </w:p>
    <w:p>
      <w:pPr>
        <w:pStyle w:val="ListBullet"/>
        <w:spacing w:after="20"/>
      </w:pPr>
      <w:r>
        <w:rPr>
          <w:sz w:val="21"/>
        </w:rPr>
        <w:t>The monthly-returns grid was auto-extracted; the values are taken directly from the source, but the trailing (unreported) 2026 cells may be misaligned by one column and should be checked.</w:t>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