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b/>
          <w:color w:val="1F3864"/>
          <w:sz w:val="34"/>
        </w:rPr>
        <w:t>Athanase Industrial Partner</w:t>
      </w:r>
    </w:p>
    <w:p>
      <w:pPr>
        <w:spacing w:after="40"/>
      </w:pPr>
      <w:r>
        <w:rPr>
          <w:color w:val="2E5496"/>
          <w:sz w:val="26"/>
        </w:rPr>
        <w:t>Performance Compensation Framework</w:t>
      </w:r>
    </w:p>
    <w:p>
      <w:pPr>
        <w:spacing w:after="40"/>
      </w:pPr>
      <w:r>
        <w:rPr>
          <w:i/>
          <w:color w:val="595959"/>
          <w:sz w:val="20"/>
        </w:rPr>
        <w:t>Staff guide to how the performance pool is created and shared</w:t>
      </w:r>
    </w:p>
    <w:p>
      <w:pPr>
        <w:pBdr>
          <w:bottom w:val="single" w:sz="12" w:space="1" w:color="1F3864"/>
        </w:pBdr>
        <w:spacing w:after="120"/>
      </w:pPr>
    </w:p>
    <w:p>
      <w:pPr>
        <w:spacing w:before="40" w:after="60"/>
      </w:pPr>
      <w:r>
        <w:rPr>
          <w:b/>
          <w:color w:val="1F3864"/>
          <w:sz w:val="25"/>
        </w:rPr>
        <w:t>1.  Purpose</w:t>
      </w:r>
    </w:p>
    <w:p>
      <w:pPr>
        <w:spacing w:after="120"/>
      </w:pPr>
      <w:r>
        <w:rPr>
          <w:sz w:val="21"/>
        </w:rPr>
        <w:t>This document explains how performance-based compensation works at Athanase Industrial Partner. Our philosophy is simple: when the fund performs, the people who create that performance share directly in it. The framework is designed to be transparent, predictable, and to reward both contribution and progression — so that everyone understands how their reward is determined and how it grows over time.</w:t>
      </w:r>
    </w:p>
    <w:p>
      <w:pPr>
        <w:spacing w:before="160" w:after="60"/>
      </w:pPr>
      <w:r>
        <w:rPr>
          <w:b/>
          <w:color w:val="1F3864"/>
          <w:sz w:val="25"/>
        </w:rPr>
        <w:t>2.  How the performance pool is created</w:t>
      </w:r>
    </w:p>
    <w:p>
      <w:pPr>
        <w:spacing w:after="120"/>
      </w:pPr>
      <w:r>
        <w:rPr>
          <w:sz w:val="21"/>
        </w:rPr>
        <w:t>When the fund delivers gains for our investors, it earns a performance fee. A fixed share of that performance fee — the team take of 60% — is set aside to form the performance pool for staff. The remaining 40% is retained by the firm. The pool is therefore directly linked to the returns we generate: a stronger year for the fund means a larger pool for the team, and as assets under management (AUM) grow, the pool grows with them.</w:t>
      </w:r>
    </w:p>
    <w:p>
      <w:pPr>
        <w:spacing w:before="160" w:after="60"/>
      </w:pPr>
      <w:r>
        <w:rPr>
          <w:b/>
          <w:color w:val="1F3864"/>
          <w:sz w:val="25"/>
        </w:rPr>
        <w:t>3.  How the pool is shared — performance weights and units</w:t>
      </w:r>
    </w:p>
    <w:p>
      <w:pPr>
        <w:spacing w:after="120"/>
      </w:pPr>
      <w:r>
        <w:rPr>
          <w:sz w:val="21"/>
        </w:rPr>
        <w:t>Each role at the firm carries a performance weight. Your weight reflects the role's seniority and its contribution to investment performance. Weights convert the pool into individual awards through a simple, fully transparent calculation:</w:t>
      </w:r>
    </w:p>
    <w:p>
      <w:pPr>
        <w:pStyle w:val="ListBullet"/>
        <w:spacing w:after="40"/>
      </w:pPr>
      <w:r>
        <w:rPr>
          <w:sz w:val="21"/>
        </w:rPr>
        <w:t>Each person's weight represents a number of performance units.</w:t>
      </w:r>
    </w:p>
    <w:p>
      <w:pPr>
        <w:pStyle w:val="ListBullet"/>
        <w:spacing w:after="40"/>
      </w:pPr>
      <w:r>
        <w:rPr>
          <w:sz w:val="21"/>
        </w:rPr>
        <w:t>We add up the weights of everyone in the firm to get the total number of units.</w:t>
      </w:r>
    </w:p>
    <w:p>
      <w:pPr>
        <w:pStyle w:val="ListBullet"/>
        <w:spacing w:after="40"/>
      </w:pPr>
      <w:r>
        <w:rPr>
          <w:sz w:val="21"/>
        </w:rPr>
        <w:t>The pool is divided by the total units to give the value of one unit.</w:t>
      </w:r>
    </w:p>
    <w:p>
      <w:pPr>
        <w:pStyle w:val="ListBullet"/>
        <w:spacing w:after="40"/>
      </w:pPr>
      <w:r>
        <w:rPr>
          <w:sz w:val="21"/>
        </w:rPr>
        <w:t>Your award = your weight × the value of one unit.</w:t>
      </w:r>
    </w:p>
    <w:tbl>
      <w:tblPr>
        <w:tblW w:type="auto" w:w="0"/>
        <w:jc w:val="center"/>
        <w:tblLook w:firstColumn="1" w:firstRow="1" w:lastColumn="0" w:lastRow="0" w:noHBand="0" w:noVBand="1" w:val="04A0"/>
      </w:tblPr>
      <w:tblGrid>
        <w:gridCol w:w="9972"/>
      </w:tblGrid>
      <w:tr>
        <w:tc>
          <w:tcPr>
            <w:tcW w:type="dxa" w:w="8928"/>
            <w:shd w:val="clear" w:fill="EAF0FA"/>
            <w:top w:val="single" w:sz="6" w:color="2E5496"/>
            <w:bottom w:val="single" w:sz="6" w:color="2E5496"/>
            <w:left w:val="single" w:sz="6" w:color="2E5496"/>
            <w:right w:val="single" w:sz="6" w:color="2E5496"/>
          </w:tcPr>
          <w:p>
            <w:pPr>
              <w:jc w:val="center"/>
            </w:pPr>
            <w:r>
              <w:rPr>
                <w:b/>
                <w:color w:val="1F3864"/>
                <w:sz w:val="21"/>
              </w:rPr>
              <w:t>Value of one unit  =  Performance pool  ÷  Total performance units</w:t>
            </w:r>
          </w:p>
          <w:p>
            <w:pPr>
              <w:jc w:val="center"/>
            </w:pPr>
            <w:r>
              <w:rPr>
                <w:b/>
                <w:color w:val="1F3864"/>
                <w:sz w:val="21"/>
              </w:rPr>
              <w:t>Your performance award  =  Your weight  ×  Value of one unit</w:t>
            </w:r>
          </w:p>
        </w:tc>
      </w:tr>
    </w:tbl>
    <w:p>
      <w:pPr>
        <w:spacing w:after="40"/>
      </w:pPr>
    </w:p>
    <w:p>
      <w:pPr>
        <w:spacing w:before="160" w:after="60"/>
      </w:pPr>
      <w:r>
        <w:rPr>
          <w:b/>
          <w:color w:val="1F3864"/>
          <w:sz w:val="25"/>
        </w:rPr>
        <w:t>4.  Roles and performance weights</w:t>
      </w:r>
    </w:p>
    <w:p>
      <w:pPr>
        <w:spacing w:after="80"/>
      </w:pPr>
      <w:r>
        <w:rPr>
          <w:sz w:val="21"/>
        </w:rPr>
        <w:t>The table below sets out the roles in the firm, grouped by track, and the performance weight attached to each. Weights are reviewed periodically and apply per person in the role.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584"/>
            <w:shd w:val="clear" w:fill="1F3864"/>
          </w:tcPr>
          <w:p>
            <w:pPr>
              <w:spacing w:after="20" w:before="20"/>
              <w:jc w:val="left"/>
            </w:pPr>
            <w:r>
              <w:rPr>
                <w:b/>
                <w:color w:val="FFFFFF"/>
                <w:sz w:val="19"/>
              </w:rPr>
              <w:t>Track</w:t>
            </w:r>
          </w:p>
        </w:tc>
        <w:tc>
          <w:tcPr>
            <w:tcW w:type="dxa" w:w="2736"/>
            <w:shd w:val="clear" w:fill="1F3864"/>
          </w:tcPr>
          <w:p>
            <w:pPr>
              <w:spacing w:after="20" w:before="20"/>
              <w:jc w:val="left"/>
            </w:pPr>
            <w:r>
              <w:rPr>
                <w:b/>
                <w:color w:val="FFFFFF"/>
                <w:sz w:val="19"/>
              </w:rPr>
              <w:t>Role</w:t>
            </w:r>
          </w:p>
        </w:tc>
        <w:tc>
          <w:tcPr>
            <w:tcW w:type="dxa" w:w="4320"/>
            <w:shd w:val="clear" w:fill="1F3864"/>
          </w:tcPr>
          <w:p>
            <w:pPr>
              <w:spacing w:after="20" w:before="20"/>
              <w:jc w:val="left"/>
            </w:pPr>
            <w:r>
              <w:rPr>
                <w:b/>
                <w:color w:val="FFFFFF"/>
                <w:sz w:val="19"/>
              </w:rPr>
              <w:t>What the role does</w:t>
            </w:r>
          </w:p>
        </w:tc>
        <w:tc>
          <w:tcPr>
            <w:tcW w:type="dxa" w:w="1008"/>
            <w:shd w:val="clear" w:fill="1F3864"/>
          </w:tcPr>
          <w:p>
            <w:pPr>
              <w:spacing w:after="20" w:before="20"/>
              <w:jc w:val="center"/>
            </w:pPr>
            <w:r>
              <w:rPr>
                <w:b/>
                <w:color w:val="FFFFFF"/>
                <w:sz w:val="19"/>
              </w:rPr>
              <w:t>Weight</w:t>
            </w:r>
          </w:p>
        </w:tc>
      </w:tr>
      <w:tr>
        <w:tc>
          <w:tcPr>
            <w:tcW w:type="dxa" w:w="1584"/>
            <w:shd w:val="clear" w:fill="DDE9F7"/>
          </w:tcPr>
          <w:p>
            <w:pPr>
              <w:spacing w:after="20" w:before="20"/>
            </w:pPr>
            <w:r>
              <w:rPr>
                <w:b/>
                <w:color w:val="1F3864"/>
                <w:sz w:val="18"/>
              </w:rPr>
              <w:t>Investment</w:t>
            </w:r>
          </w:p>
        </w:tc>
        <w:tc>
          <w:tcPr>
            <w:tcW w:type="dxa" w:w="2736"/>
          </w:tcPr>
          <w:p>
            <w:pPr>
              <w:spacing w:after="20" w:before="20"/>
            </w:pPr>
            <w:r>
              <w:rPr>
                <w:b/>
                <w:sz w:val="18"/>
              </w:rPr>
              <w:t>Chief Investment Officer (CIO)</w:t>
            </w:r>
          </w:p>
        </w:tc>
        <w:tc>
          <w:tcPr>
            <w:tcW w:type="dxa" w:w="4320"/>
          </w:tcPr>
          <w:p>
            <w:pPr>
              <w:spacing w:after="20" w:before="20"/>
            </w:pPr>
            <w:r>
              <w:rPr>
                <w:b w:val="0"/>
                <w:sz w:val="18"/>
              </w:rPr>
              <w:t>Sets investment strategy; ultimate responsibility for fund performance.</w:t>
            </w:r>
          </w:p>
        </w:tc>
        <w:tc>
          <w:tcPr>
            <w:tcW w:type="dxa" w:w="1008"/>
          </w:tcPr>
          <w:p>
            <w:pPr>
              <w:spacing w:after="20" w:before="20"/>
              <w:jc w:val="center"/>
            </w:pPr>
            <w:r>
              <w:rPr>
                <w:b/>
                <w:color w:val="2E5496"/>
                <w:sz w:val="20"/>
              </w:rPr>
              <w:t>16</w:t>
            </w:r>
          </w:p>
        </w:tc>
      </w:tr>
      <w:tr>
        <w:tc>
          <w:tcPr>
            <w:tcW w:type="dxa" w:w="1584"/>
            <w:shd w:val="clear" w:fill="DDE9F7"/>
          </w:tcPr>
          <w:p>
            <w:pPr>
              <w:spacing w:after="20" w:before="20"/>
            </w:pPr>
            <w:r>
              <w:rPr>
                <w:b/>
                <w:color w:val="1F3864"/>
                <w:sz w:val="18"/>
              </w:rPr>
              <w:t>Investment</w:t>
            </w:r>
          </w:p>
        </w:tc>
        <w:tc>
          <w:tcPr>
            <w:tcW w:type="dxa" w:w="2736"/>
          </w:tcPr>
          <w:p>
            <w:pPr>
              <w:spacing w:after="20" w:before="20"/>
            </w:pPr>
            <w:r>
              <w:rPr>
                <w:b/>
                <w:sz w:val="18"/>
              </w:rPr>
              <w:t>Portfolio Manager (PM)</w:t>
            </w:r>
          </w:p>
        </w:tc>
        <w:tc>
          <w:tcPr>
            <w:tcW w:type="dxa" w:w="4320"/>
          </w:tcPr>
          <w:p>
            <w:pPr>
              <w:spacing w:after="20" w:before="20"/>
            </w:pPr>
            <w:r>
              <w:rPr>
                <w:b w:val="0"/>
                <w:sz w:val="18"/>
              </w:rPr>
              <w:t>Manages capital and runs an investment book.</w:t>
            </w:r>
          </w:p>
        </w:tc>
        <w:tc>
          <w:tcPr>
            <w:tcW w:type="dxa" w:w="1008"/>
          </w:tcPr>
          <w:p>
            <w:pPr>
              <w:spacing w:after="20" w:before="20"/>
              <w:jc w:val="center"/>
            </w:pPr>
            <w:r>
              <w:rPr>
                <w:b/>
                <w:color w:val="2E5496"/>
                <w:sz w:val="20"/>
              </w:rPr>
              <w:t>8</w:t>
            </w:r>
          </w:p>
        </w:tc>
      </w:tr>
      <w:tr>
        <w:tc>
          <w:tcPr>
            <w:tcW w:type="dxa" w:w="1584"/>
            <w:shd w:val="clear" w:fill="DDE9F7"/>
          </w:tcPr>
          <w:p>
            <w:pPr>
              <w:spacing w:after="20" w:before="20"/>
            </w:pPr>
            <w:r>
              <w:rPr>
                <w:b/>
                <w:color w:val="1F3864"/>
                <w:sz w:val="18"/>
              </w:rPr>
              <w:t>Investment</w:t>
            </w:r>
          </w:p>
        </w:tc>
        <w:tc>
          <w:tcPr>
            <w:tcW w:type="dxa" w:w="2736"/>
          </w:tcPr>
          <w:p>
            <w:pPr>
              <w:spacing w:after="20" w:before="20"/>
            </w:pPr>
            <w:r>
              <w:rPr>
                <w:b/>
                <w:sz w:val="18"/>
              </w:rPr>
              <w:t>Junior PM</w:t>
            </w:r>
          </w:p>
        </w:tc>
        <w:tc>
          <w:tcPr>
            <w:tcW w:type="dxa" w:w="4320"/>
          </w:tcPr>
          <w:p>
            <w:pPr>
              <w:spacing w:after="20" w:before="20"/>
            </w:pPr>
            <w:r>
              <w:rPr>
                <w:b w:val="0"/>
                <w:sz w:val="18"/>
              </w:rPr>
              <w:t>Runs a sleeve or co-manages a book; developing toward full PM.</w:t>
            </w:r>
          </w:p>
        </w:tc>
        <w:tc>
          <w:tcPr>
            <w:tcW w:type="dxa" w:w="1008"/>
          </w:tcPr>
          <w:p>
            <w:pPr>
              <w:spacing w:after="20" w:before="20"/>
              <w:jc w:val="center"/>
            </w:pPr>
            <w:r>
              <w:rPr>
                <w:b/>
                <w:color w:val="2E5496"/>
                <w:sz w:val="20"/>
              </w:rPr>
              <w:t>6</w:t>
            </w:r>
          </w:p>
        </w:tc>
      </w:tr>
      <w:tr>
        <w:tc>
          <w:tcPr>
            <w:tcW w:type="dxa" w:w="1584"/>
            <w:shd w:val="clear" w:fill="DDE9F7"/>
          </w:tcPr>
          <w:p>
            <w:pPr>
              <w:spacing w:after="20" w:before="20"/>
            </w:pPr>
            <w:r>
              <w:rPr>
                <w:b/>
                <w:color w:val="1F3864"/>
                <w:sz w:val="18"/>
              </w:rPr>
              <w:t>Investment</w:t>
            </w:r>
          </w:p>
        </w:tc>
        <w:tc>
          <w:tcPr>
            <w:tcW w:type="dxa" w:w="2736"/>
          </w:tcPr>
          <w:p>
            <w:pPr>
              <w:spacing w:after="20" w:before="20"/>
            </w:pPr>
            <w:r>
              <w:rPr>
                <w:b/>
                <w:sz w:val="18"/>
              </w:rPr>
              <w:t>Senior Analyst</w:t>
            </w:r>
          </w:p>
        </w:tc>
        <w:tc>
          <w:tcPr>
            <w:tcW w:type="dxa" w:w="4320"/>
          </w:tcPr>
          <w:p>
            <w:pPr>
              <w:spacing w:after="20" w:before="20"/>
            </w:pPr>
            <w:r>
              <w:rPr>
                <w:b w:val="0"/>
                <w:sz w:val="18"/>
              </w:rPr>
              <w:t>Lead analyst with deep sector coverage; mentors analysts.</w:t>
            </w:r>
          </w:p>
        </w:tc>
        <w:tc>
          <w:tcPr>
            <w:tcW w:type="dxa" w:w="1008"/>
          </w:tcPr>
          <w:p>
            <w:pPr>
              <w:spacing w:after="20" w:before="20"/>
              <w:jc w:val="center"/>
            </w:pPr>
            <w:r>
              <w:rPr>
                <w:b/>
                <w:color w:val="2E5496"/>
                <w:sz w:val="20"/>
              </w:rPr>
              <w:t>4</w:t>
            </w:r>
          </w:p>
        </w:tc>
      </w:tr>
      <w:tr>
        <w:tc>
          <w:tcPr>
            <w:tcW w:type="dxa" w:w="1584"/>
            <w:shd w:val="clear" w:fill="DDE9F7"/>
          </w:tcPr>
          <w:p>
            <w:pPr>
              <w:spacing w:after="20" w:before="20"/>
            </w:pPr>
            <w:r>
              <w:rPr>
                <w:b/>
                <w:color w:val="1F3864"/>
                <w:sz w:val="18"/>
              </w:rPr>
              <w:t>Investment</w:t>
            </w:r>
          </w:p>
        </w:tc>
        <w:tc>
          <w:tcPr>
            <w:tcW w:type="dxa" w:w="2736"/>
          </w:tcPr>
          <w:p>
            <w:pPr>
              <w:spacing w:after="20" w:before="20"/>
            </w:pPr>
            <w:r>
              <w:rPr>
                <w:b/>
                <w:sz w:val="18"/>
              </w:rPr>
              <w:t>Analyst</w:t>
            </w:r>
          </w:p>
        </w:tc>
        <w:tc>
          <w:tcPr>
            <w:tcW w:type="dxa" w:w="4320"/>
          </w:tcPr>
          <w:p>
            <w:pPr>
              <w:spacing w:after="20" w:before="20"/>
            </w:pPr>
            <w:r>
              <w:rPr>
                <w:b w:val="0"/>
                <w:sz w:val="18"/>
              </w:rPr>
              <w:t>Fundamental research and idea generation.</w:t>
            </w:r>
          </w:p>
        </w:tc>
        <w:tc>
          <w:tcPr>
            <w:tcW w:type="dxa" w:w="1008"/>
          </w:tcPr>
          <w:p>
            <w:pPr>
              <w:spacing w:after="20" w:before="20"/>
              <w:jc w:val="center"/>
            </w:pPr>
            <w:r>
              <w:rPr>
                <w:b/>
                <w:color w:val="2E5496"/>
                <w:sz w:val="20"/>
              </w:rPr>
              <w:t>2.5</w:t>
            </w:r>
          </w:p>
        </w:tc>
      </w:tr>
      <w:tr>
        <w:tc>
          <w:tcPr>
            <w:tcW w:type="dxa" w:w="1584"/>
            <w:shd w:val="clear" w:fill="E7EFDC"/>
          </w:tcPr>
          <w:p>
            <w:pPr>
              <w:spacing w:after="20" w:before="20"/>
            </w:pPr>
            <w:r>
              <w:rPr>
                <w:b/>
                <w:color w:val="1F3864"/>
                <w:sz w:val="18"/>
              </w:rPr>
              <w:t>Leadership</w:t>
            </w:r>
          </w:p>
        </w:tc>
        <w:tc>
          <w:tcPr>
            <w:tcW w:type="dxa" w:w="2736"/>
          </w:tcPr>
          <w:p>
            <w:pPr>
              <w:spacing w:after="20" w:before="20"/>
            </w:pPr>
            <w:r>
              <w:rPr>
                <w:b/>
                <w:sz w:val="18"/>
              </w:rPr>
              <w:t>Chief Executive Officer (CEO)</w:t>
            </w:r>
          </w:p>
        </w:tc>
        <w:tc>
          <w:tcPr>
            <w:tcW w:type="dxa" w:w="4320"/>
          </w:tcPr>
          <w:p>
            <w:pPr>
              <w:spacing w:after="20" w:before="20"/>
            </w:pPr>
            <w:r>
              <w:rPr>
                <w:b w:val="0"/>
                <w:sz w:val="18"/>
              </w:rPr>
              <w:t>Firm leadership and overall business management.</w:t>
            </w:r>
          </w:p>
        </w:tc>
        <w:tc>
          <w:tcPr>
            <w:tcW w:type="dxa" w:w="1008"/>
          </w:tcPr>
          <w:p>
            <w:pPr>
              <w:spacing w:after="20" w:before="20"/>
              <w:jc w:val="center"/>
            </w:pPr>
            <w:r>
              <w:rPr>
                <w:b/>
                <w:color w:val="2E5496"/>
                <w:sz w:val="20"/>
              </w:rPr>
              <w:t>8</w:t>
            </w:r>
          </w:p>
        </w:tc>
      </w:tr>
      <w:tr>
        <w:tc>
          <w:tcPr>
            <w:tcW w:type="dxa" w:w="1584"/>
            <w:shd w:val="clear" w:fill="E7EFDC"/>
          </w:tcPr>
          <w:p>
            <w:pPr>
              <w:spacing w:after="20" w:before="20"/>
            </w:pPr>
            <w:r>
              <w:rPr>
                <w:b/>
                <w:color w:val="1F3864"/>
                <w:sz w:val="18"/>
              </w:rPr>
              <w:t>Leadership</w:t>
            </w:r>
          </w:p>
        </w:tc>
        <w:tc>
          <w:tcPr>
            <w:tcW w:type="dxa" w:w="2736"/>
          </w:tcPr>
          <w:p>
            <w:pPr>
              <w:spacing w:after="20" w:before="20"/>
            </w:pPr>
            <w:r>
              <w:rPr>
                <w:b/>
                <w:sz w:val="18"/>
              </w:rPr>
              <w:t>Chief Financial Officer (CFO)</w:t>
            </w:r>
          </w:p>
        </w:tc>
        <w:tc>
          <w:tcPr>
            <w:tcW w:type="dxa" w:w="4320"/>
          </w:tcPr>
          <w:p>
            <w:pPr>
              <w:spacing w:after="20" w:before="20"/>
            </w:pPr>
            <w:r>
              <w:rPr>
                <w:b w:val="0"/>
                <w:sz w:val="18"/>
              </w:rPr>
              <w:t>Finance, fund accounting and treasury.</w:t>
            </w:r>
          </w:p>
        </w:tc>
        <w:tc>
          <w:tcPr>
            <w:tcW w:type="dxa" w:w="1008"/>
          </w:tcPr>
          <w:p>
            <w:pPr>
              <w:spacing w:after="20" w:before="20"/>
              <w:jc w:val="center"/>
            </w:pPr>
            <w:r>
              <w:rPr>
                <w:b/>
                <w:color w:val="2E5496"/>
                <w:sz w:val="20"/>
              </w:rPr>
              <w:t>3</w:t>
            </w:r>
          </w:p>
        </w:tc>
      </w:tr>
      <w:tr>
        <w:tc>
          <w:tcPr>
            <w:tcW w:type="dxa" w:w="1584"/>
            <w:shd w:val="clear" w:fill="E7EFDC"/>
          </w:tcPr>
          <w:p>
            <w:pPr>
              <w:spacing w:after="20" w:before="20"/>
            </w:pPr>
            <w:r>
              <w:rPr>
                <w:b/>
                <w:color w:val="1F3864"/>
                <w:sz w:val="18"/>
              </w:rPr>
              <w:t>Leadership</w:t>
            </w:r>
          </w:p>
        </w:tc>
        <w:tc>
          <w:tcPr>
            <w:tcW w:type="dxa" w:w="2736"/>
          </w:tcPr>
          <w:p>
            <w:pPr>
              <w:spacing w:after="20" w:before="20"/>
            </w:pPr>
            <w:r>
              <w:rPr>
                <w:b/>
                <w:sz w:val="18"/>
              </w:rPr>
              <w:t>Chief Operating Officer (COO)</w:t>
            </w:r>
          </w:p>
        </w:tc>
        <w:tc>
          <w:tcPr>
            <w:tcW w:type="dxa" w:w="4320"/>
          </w:tcPr>
          <w:p>
            <w:pPr>
              <w:spacing w:after="20" w:before="20"/>
            </w:pPr>
            <w:r>
              <w:rPr>
                <w:b w:val="0"/>
                <w:sz w:val="18"/>
              </w:rPr>
              <w:t>Operations and firm infrastructure.</w:t>
            </w:r>
          </w:p>
        </w:tc>
        <w:tc>
          <w:tcPr>
            <w:tcW w:type="dxa" w:w="1008"/>
          </w:tcPr>
          <w:p>
            <w:pPr>
              <w:spacing w:after="20" w:before="20"/>
              <w:jc w:val="center"/>
            </w:pPr>
            <w:r>
              <w:rPr>
                <w:b/>
                <w:color w:val="2E5496"/>
                <w:sz w:val="20"/>
              </w:rPr>
              <w:t>3</w:t>
            </w:r>
          </w:p>
        </w:tc>
      </w:tr>
      <w:tr>
        <w:tc>
          <w:tcPr>
            <w:tcW w:type="dxa" w:w="1584"/>
            <w:shd w:val="clear" w:fill="FBE9D8"/>
          </w:tcPr>
          <w:p>
            <w:pPr>
              <w:spacing w:after="20" w:before="20"/>
            </w:pPr>
            <w:r>
              <w:rPr>
                <w:b/>
                <w:color w:val="1F3864"/>
                <w:sz w:val="18"/>
              </w:rPr>
              <w:t>Control</w:t>
            </w:r>
          </w:p>
        </w:tc>
        <w:tc>
          <w:tcPr>
            <w:tcW w:type="dxa" w:w="2736"/>
          </w:tcPr>
          <w:p>
            <w:pPr>
              <w:spacing w:after="20" w:before="20"/>
            </w:pPr>
            <w:r>
              <w:rPr>
                <w:b/>
                <w:sz w:val="18"/>
              </w:rPr>
              <w:t>Execution</w:t>
            </w:r>
          </w:p>
        </w:tc>
        <w:tc>
          <w:tcPr>
            <w:tcW w:type="dxa" w:w="4320"/>
          </w:tcPr>
          <w:p>
            <w:pPr>
              <w:spacing w:after="20" w:before="20"/>
            </w:pPr>
            <w:r>
              <w:rPr>
                <w:b w:val="0"/>
                <w:sz w:val="18"/>
              </w:rPr>
              <w:t>Trade execution.</w:t>
            </w:r>
          </w:p>
        </w:tc>
        <w:tc>
          <w:tcPr>
            <w:tcW w:type="dxa" w:w="1008"/>
          </w:tcPr>
          <w:p>
            <w:pPr>
              <w:spacing w:after="20" w:before="20"/>
              <w:jc w:val="center"/>
            </w:pPr>
            <w:r>
              <w:rPr>
                <w:b/>
                <w:color w:val="2E5496"/>
                <w:sz w:val="20"/>
              </w:rPr>
              <w:t>2</w:t>
            </w:r>
          </w:p>
        </w:tc>
      </w:tr>
      <w:tr>
        <w:tc>
          <w:tcPr>
            <w:tcW w:type="dxa" w:w="1584"/>
            <w:shd w:val="clear" w:fill="FBE9D8"/>
          </w:tcPr>
          <w:p>
            <w:pPr>
              <w:spacing w:after="20" w:before="20"/>
            </w:pPr>
            <w:r>
              <w:rPr>
                <w:b/>
                <w:color w:val="1F3864"/>
                <w:sz w:val="18"/>
              </w:rPr>
              <w:t>Control</w:t>
            </w:r>
          </w:p>
        </w:tc>
        <w:tc>
          <w:tcPr>
            <w:tcW w:type="dxa" w:w="2736"/>
          </w:tcPr>
          <w:p>
            <w:pPr>
              <w:spacing w:after="20" w:before="20"/>
            </w:pPr>
            <w:r>
              <w:rPr>
                <w:b/>
                <w:sz w:val="18"/>
              </w:rPr>
              <w:t>Risk</w:t>
            </w:r>
          </w:p>
        </w:tc>
        <w:tc>
          <w:tcPr>
            <w:tcW w:type="dxa" w:w="4320"/>
          </w:tcPr>
          <w:p>
            <w:pPr>
              <w:spacing w:after="20" w:before="20"/>
            </w:pPr>
            <w:r>
              <w:rPr>
                <w:b w:val="0"/>
                <w:sz w:val="18"/>
              </w:rPr>
              <w:t>Risk management and portfolio monitoring.</w:t>
            </w:r>
          </w:p>
        </w:tc>
        <w:tc>
          <w:tcPr>
            <w:tcW w:type="dxa" w:w="1008"/>
          </w:tcPr>
          <w:p>
            <w:pPr>
              <w:spacing w:after="20" w:before="20"/>
              <w:jc w:val="center"/>
            </w:pPr>
            <w:r>
              <w:rPr>
                <w:b/>
                <w:color w:val="2E5496"/>
                <w:sz w:val="20"/>
              </w:rPr>
              <w:t>2</w:t>
            </w:r>
          </w:p>
        </w:tc>
      </w:tr>
      <w:tr>
        <w:tc>
          <w:tcPr>
            <w:tcW w:type="dxa" w:w="1584"/>
            <w:shd w:val="clear" w:fill="FBE9D8"/>
          </w:tcPr>
          <w:p>
            <w:pPr>
              <w:spacing w:after="20" w:before="20"/>
            </w:pPr>
            <w:r>
              <w:rPr>
                <w:b/>
                <w:color w:val="1F3864"/>
                <w:sz w:val="18"/>
              </w:rPr>
              <w:t>Control</w:t>
            </w:r>
          </w:p>
        </w:tc>
        <w:tc>
          <w:tcPr>
            <w:tcW w:type="dxa" w:w="2736"/>
          </w:tcPr>
          <w:p>
            <w:pPr>
              <w:spacing w:after="20" w:before="20"/>
            </w:pPr>
            <w:r>
              <w:rPr>
                <w:b/>
                <w:sz w:val="18"/>
              </w:rPr>
              <w:t>Compliance</w:t>
            </w:r>
          </w:p>
        </w:tc>
        <w:tc>
          <w:tcPr>
            <w:tcW w:type="dxa" w:w="4320"/>
          </w:tcPr>
          <w:p>
            <w:pPr>
              <w:spacing w:after="20" w:before="20"/>
            </w:pPr>
            <w:r>
              <w:rPr>
                <w:b w:val="0"/>
                <w:sz w:val="18"/>
              </w:rPr>
              <w:t>Regulatory compliance.</w:t>
            </w:r>
          </w:p>
        </w:tc>
        <w:tc>
          <w:tcPr>
            <w:tcW w:type="dxa" w:w="1008"/>
          </w:tcPr>
          <w:p>
            <w:pPr>
              <w:spacing w:after="20" w:before="20"/>
              <w:jc w:val="center"/>
            </w:pPr>
            <w:r>
              <w:rPr>
                <w:b/>
                <w:color w:val="2E5496"/>
                <w:sz w:val="20"/>
              </w:rPr>
              <w:t>1</w:t>
            </w:r>
          </w:p>
        </w:tc>
      </w:tr>
      <w:tr>
        <w:tc>
          <w:tcPr>
            <w:tcW w:type="dxa" w:w="1584"/>
            <w:shd w:val="clear" w:fill="F2F2F2"/>
          </w:tcPr>
          <w:p>
            <w:pPr>
              <w:spacing w:after="20" w:before="20"/>
            </w:pPr>
            <w:r>
              <w:rPr>
                <w:b/>
                <w:color w:val="1F3864"/>
                <w:sz w:val="18"/>
              </w:rPr>
              <w:t>Client &amp; Support</w:t>
            </w:r>
          </w:p>
        </w:tc>
        <w:tc>
          <w:tcPr>
            <w:tcW w:type="dxa" w:w="2736"/>
          </w:tcPr>
          <w:p>
            <w:pPr>
              <w:spacing w:after="20" w:before="20"/>
            </w:pPr>
            <w:r>
              <w:rPr>
                <w:b/>
                <w:sz w:val="18"/>
              </w:rPr>
              <w:t>Investor Relations (IR)</w:t>
            </w:r>
          </w:p>
        </w:tc>
        <w:tc>
          <w:tcPr>
            <w:tcW w:type="dxa" w:w="4320"/>
          </w:tcPr>
          <w:p>
            <w:pPr>
              <w:spacing w:after="20" w:before="20"/>
            </w:pPr>
            <w:r>
              <w:rPr>
                <w:b w:val="0"/>
                <w:sz w:val="18"/>
              </w:rPr>
              <w:t>Investor relations and capital raising.</w:t>
            </w:r>
          </w:p>
        </w:tc>
        <w:tc>
          <w:tcPr>
            <w:tcW w:type="dxa" w:w="1008"/>
          </w:tcPr>
          <w:p>
            <w:pPr>
              <w:spacing w:after="20" w:before="20"/>
              <w:jc w:val="center"/>
            </w:pPr>
            <w:r>
              <w:rPr>
                <w:b/>
                <w:color w:val="2E5496"/>
                <w:sz w:val="20"/>
              </w:rPr>
              <w:t>1</w:t>
            </w:r>
          </w:p>
        </w:tc>
      </w:tr>
      <w:tr>
        <w:tc>
          <w:tcPr>
            <w:tcW w:type="dxa" w:w="1584"/>
            <w:shd w:val="clear" w:fill="F2F2F2"/>
          </w:tcPr>
          <w:p>
            <w:pPr>
              <w:spacing w:after="20" w:before="20"/>
            </w:pPr>
            <w:r>
              <w:rPr>
                <w:b/>
                <w:color w:val="1F3864"/>
                <w:sz w:val="18"/>
              </w:rPr>
              <w:t>Client &amp; Support</w:t>
            </w:r>
          </w:p>
        </w:tc>
        <w:tc>
          <w:tcPr>
            <w:tcW w:type="dxa" w:w="2736"/>
          </w:tcPr>
          <w:p>
            <w:pPr>
              <w:spacing w:after="20" w:before="20"/>
            </w:pPr>
            <w:r>
              <w:rPr>
                <w:b/>
                <w:sz w:val="18"/>
              </w:rPr>
              <w:t>Support</w:t>
            </w:r>
          </w:p>
        </w:tc>
        <w:tc>
          <w:tcPr>
            <w:tcW w:type="dxa" w:w="4320"/>
          </w:tcPr>
          <w:p>
            <w:pPr>
              <w:spacing w:after="20" w:before="20"/>
            </w:pPr>
            <w:r>
              <w:rPr>
                <w:b w:val="0"/>
                <w:sz w:val="18"/>
              </w:rPr>
              <w:t>Operational and administrative support.</w:t>
            </w:r>
          </w:p>
        </w:tc>
        <w:tc>
          <w:tcPr>
            <w:tcW w:type="dxa" w:w="1008"/>
          </w:tcPr>
          <w:p>
            <w:pPr>
              <w:spacing w:after="20" w:before="20"/>
              <w:jc w:val="center"/>
            </w:pPr>
            <w:r>
              <w:rPr>
                <w:b/>
                <w:color w:val="2E5496"/>
                <w:sz w:val="20"/>
              </w:rPr>
              <w:t>1</w:t>
            </w:r>
          </w:p>
        </w:tc>
      </w:tr>
    </w:tbl>
    <w:p>
      <w:pPr>
        <w:spacing w:before="160" w:after="60"/>
      </w:pPr>
      <w:r>
        <w:rPr>
          <w:b/>
          <w:color w:val="1F3864"/>
          <w:sz w:val="25"/>
        </w:rPr>
        <w:t>5.  How awards behave as the firm grows</w:t>
      </w:r>
    </w:p>
    <w:p>
      <w:pPr>
        <w:spacing w:after="120"/>
      </w:pPr>
      <w:r>
        <w:rPr>
          <w:sz w:val="21"/>
        </w:rPr>
        <w:t>Two things happen as the firm adds people and assets, and it is important to understand both:</w:t>
      </w:r>
    </w:p>
    <w:p>
      <w:pPr>
        <w:pStyle w:val="ListBullet"/>
        <w:spacing w:after="40"/>
      </w:pPr>
      <w:r>
        <w:rPr>
          <w:sz w:val="21"/>
        </w:rPr>
        <w:t>Your percentage share of the pool may gradually reduce as the team grows and total units increase.</w:t>
      </w:r>
    </w:p>
    <w:p>
      <w:pPr>
        <w:pStyle w:val="ListBullet"/>
        <w:spacing w:after="40"/>
      </w:pPr>
      <w:r>
        <w:rPr>
          <w:sz w:val="21"/>
        </w:rPr>
        <w:t>Your award in absolute terms is expected to rise, because the pool grows with AUM and fund performance.</w:t>
      </w:r>
    </w:p>
    <w:p>
      <w:pPr>
        <w:spacing w:after="80"/>
      </w:pPr>
      <w:r>
        <w:rPr>
          <w:sz w:val="21"/>
        </w:rPr>
        <w:t>In other words, a smaller slice of a much larger pie. This keeps the framework fair as we scale: building a stronger, larger team is what drives the bigger pool that benefits everyone.</w:t>
      </w:r>
    </w:p>
    <w:p>
      <w:pPr>
        <w:spacing w:before="160" w:after="60"/>
      </w:pPr>
      <w:r>
        <w:rPr>
          <w:b/>
          <w:color w:val="1F3864"/>
          <w:sz w:val="25"/>
        </w:rPr>
        <w:t>6.  Career progression</w:t>
      </w:r>
    </w:p>
    <w:p>
      <w:pPr>
        <w:spacing w:after="120"/>
      </w:pPr>
      <w:r>
        <w:rPr>
          <w:sz w:val="21"/>
        </w:rPr>
        <w:t>Weights increase with responsibility. The investment track in particular offers a clear ladder — Analyst → Senior Analyst → Junior PM → Portfolio Manager → CIO — with each step carrying a meaningfully higher weight. Progression is how your share of the pool grows alongside the firm.</w:t>
      </w:r>
    </w:p>
    <w:p>
      <w:pPr>
        <w:spacing w:before="160" w:after="60"/>
      </w:pPr>
      <w:r>
        <w:rPr>
          <w:b/>
          <w:color w:val="1F3864"/>
          <w:sz w:val="25"/>
        </w:rPr>
        <w:t>7.  Governance</w:t>
      </w:r>
    </w:p>
    <w:p>
      <w:pPr>
        <w:spacing w:after="40"/>
      </w:pPr>
      <w:r>
        <w:rPr>
          <w:sz w:val="21"/>
        </w:rPr>
        <w:t>The framework, the list of roles and the weights are reviewed periodically by the firm's leadership. Awards are determined by this framework; the firm retains reasonable discretion in exceptional circumstances and in line with regulatory requirements. This document is provided for information and does not form part of any individual's contract of employment.</w:t>
      </w:r>
    </w:p>
    <w:p>
      <w:pPr>
        <w:jc w:val="left"/>
      </w:pPr>
      <w:r>
        <w:rPr>
          <w:i/>
          <w:color w:val="595959"/>
          <w:sz w:val="16"/>
        </w:rPr>
        <w:t>Athanase Industrial Partner  ·  Performance Compensation Framework  ·  Internal — for staff information</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