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color w:val="152130"/>
          <w:sz w:val="44"/>
        </w:rPr>
        <w:t>Athanase Industrial Partners</w:t>
      </w:r>
    </w:p>
    <w:p>
      <w:pPr>
        <w:spacing w:after="40"/>
      </w:pPr>
      <w:r>
        <w:rPr>
          <w:rFonts w:ascii="Times New Roman" w:hAnsi="Times New Roman"/>
          <w:i/>
          <w:color w:val="556A83"/>
          <w:sz w:val="30"/>
        </w:rPr>
        <w:t>Fund II — Quarterly Report</w:t>
      </w:r>
    </w:p>
    <w:p>
      <w:pPr>
        <w:spacing w:after="40"/>
      </w:pPr>
      <w:r>
        <w:rPr>
          <w:rFonts w:ascii="Times New Roman" w:hAnsi="Times New Roman"/>
          <w:b/>
          <w:color w:val="152130"/>
          <w:sz w:val="24"/>
        </w:rPr>
        <w:t>Q1 2026  ·  As of 31 March 2026</w:t>
      </w:r>
    </w:p>
    <w:p>
      <w:pPr>
        <w:spacing w:before="40" w:after="120" w:line="269" w:lineRule="auto"/>
        <w:jc w:val="left"/>
      </w:pPr>
      <w:r>
        <w:rPr>
          <w:b w:val="0"/>
          <w:i/>
          <w:color w:val="556A83"/>
          <w:sz w:val="18"/>
        </w:rPr>
        <w:t>Reconstructed, editorially corrected Word version of the original Publisher report. Narrative text reflects the grammar, spelling and academic-rigour corrections; figures and tables are reproduced from the source.</w:t>
      </w:r>
    </w:p>
    <w:p>
      <w:pPr>
        <w:keepNext/>
        <w:spacing w:before="280" w:after="80"/>
        <w:pBdr>
          <w:bottom w:val="single" w:sz="6" w:space="2" w:color="314359"/>
        </w:pBdr>
      </w:pPr>
      <w:r>
        <w:rPr>
          <w:rFonts w:ascii="Times New Roman" w:hAnsi="Times New Roman"/>
          <w:b/>
          <w:color w:val="152130"/>
          <w:sz w:val="30"/>
        </w:rPr>
        <w:t>Fund overview</w:t>
      </w:r>
    </w:p>
    <w:p>
      <w:pPr>
        <w:spacing w:before="40" w:after="60" w:line="269" w:lineRule="auto"/>
        <w:jc w:val="left"/>
      </w:pPr>
      <w:r>
        <w:rPr>
          <w:b w:val="0"/>
          <w:i w:val="0"/>
          <w:sz w:val="21"/>
        </w:rPr>
        <w:t>Athanase Industrial Partners is a global equity investor with a 20-year track record. Our long-term, value-oriented strategy aligns our interests with those of our investors by focusing on companies with stable earnings, low leverage and predictable cash flows. We avoid speculative investments and enhance financial health through active ownership. Our record of improving company fundamentals underpins a disciplined focus on stable, long-term returns.</w:t>
      </w:r>
    </w:p>
    <w:p>
      <w:pPr>
        <w:keepNext/>
        <w:spacing w:before="200" w:after="80"/>
      </w:pPr>
      <w:r>
        <w:rPr>
          <w:rFonts w:ascii="Times New Roman" w:hAnsi="Times New Roman"/>
          <w:b/>
          <w:color w:val="152130"/>
          <w:sz w:val="24"/>
        </w:rPr>
        <w:t>Performance (%)</w:t>
      </w:r>
    </w:p>
    <w:tbl>
      <w:tblPr>
        <w:tblStyle w:val="TableGrid"/>
        <w:tblW w:type="auto" w:w="0"/>
        <w:jc w:val="left"/>
        <w:tblLook w:firstColumn="1" w:firstRow="1" w:lastColumn="0" w:lastRow="0" w:noHBand="0" w:noVBand="1" w:val="04A0"/>
      </w:tblPr>
      <w:tblGrid>
        <w:gridCol w:w="1242"/>
        <w:gridCol w:w="1242"/>
        <w:gridCol w:w="1242"/>
        <w:gridCol w:w="1242"/>
        <w:gridCol w:w="1242"/>
        <w:gridCol w:w="1242"/>
        <w:gridCol w:w="1242"/>
        <w:gridCol w:w="1242"/>
      </w:tblGrid>
      <w:tr>
        <w:trPr>
          <w:cantSplit/>
        </w:trPr>
        <w:tc>
          <w:tcPr>
            <w:tcW w:type="dxa" w:w="1242"/>
            <w:shd w:val="clear" w:fill="152130"/>
          </w:tcPr>
          <w:p>
            <w:pPr>
              <w:spacing w:after="0" w:before="0"/>
            </w:pPr>
            <w:r/>
            <w:r>
              <w:rPr>
                <w:b/>
                <w:color w:val="FFFFFF"/>
                <w:sz w:val="17"/>
              </w:rPr>
            </w:r>
          </w:p>
        </w:tc>
        <w:tc>
          <w:tcPr>
            <w:tcW w:type="dxa" w:w="1242"/>
            <w:shd w:val="clear" w:fill="152130"/>
          </w:tcPr>
          <w:p>
            <w:pPr>
              <w:spacing w:after="0" w:before="0"/>
            </w:pPr>
            <w:r/>
            <w:r>
              <w:rPr>
                <w:b/>
                <w:color w:val="FFFFFF"/>
                <w:sz w:val="17"/>
              </w:rPr>
              <w:t>ITD¹</w:t>
            </w:r>
          </w:p>
        </w:tc>
        <w:tc>
          <w:tcPr>
            <w:tcW w:type="dxa" w:w="1242"/>
            <w:shd w:val="clear" w:fill="152130"/>
          </w:tcPr>
          <w:p>
            <w:pPr>
              <w:spacing w:after="0" w:before="0"/>
            </w:pPr>
            <w:r/>
            <w:r>
              <w:rPr>
                <w:b/>
                <w:color w:val="FFFFFF"/>
                <w:sz w:val="17"/>
              </w:rPr>
              <w:t>Downside risk</w:t>
            </w:r>
          </w:p>
        </w:tc>
        <w:tc>
          <w:tcPr>
            <w:tcW w:type="dxa" w:w="1242"/>
            <w:shd w:val="clear" w:fill="152130"/>
          </w:tcPr>
          <w:p>
            <w:pPr>
              <w:spacing w:after="0" w:before="0"/>
            </w:pPr>
            <w:r/>
            <w:r>
              <w:rPr>
                <w:b/>
                <w:color w:val="FFFFFF"/>
                <w:sz w:val="17"/>
              </w:rPr>
              <w:t>YTD</w:t>
            </w:r>
          </w:p>
        </w:tc>
        <w:tc>
          <w:tcPr>
            <w:tcW w:type="dxa" w:w="1242"/>
            <w:shd w:val="clear" w:fill="152130"/>
          </w:tcPr>
          <w:p>
            <w:pPr>
              <w:spacing w:after="0" w:before="0"/>
            </w:pPr>
            <w:r/>
            <w:r>
              <w:rPr>
                <w:b/>
                <w:color w:val="FFFFFF"/>
                <w:sz w:val="17"/>
              </w:rPr>
              <w:t>Q1-26</w:t>
            </w:r>
          </w:p>
        </w:tc>
        <w:tc>
          <w:tcPr>
            <w:tcW w:type="dxa" w:w="1242"/>
            <w:shd w:val="clear" w:fill="152130"/>
          </w:tcPr>
          <w:p>
            <w:pPr>
              <w:spacing w:after="0" w:before="0"/>
            </w:pPr>
            <w:r/>
            <w:r>
              <w:rPr>
                <w:b/>
                <w:color w:val="FFFFFF"/>
                <w:sz w:val="17"/>
              </w:rPr>
              <w:t>Q4-25</w:t>
            </w:r>
          </w:p>
        </w:tc>
        <w:tc>
          <w:tcPr>
            <w:tcW w:type="dxa" w:w="1242"/>
            <w:shd w:val="clear" w:fill="152130"/>
          </w:tcPr>
          <w:p>
            <w:pPr>
              <w:spacing w:after="0" w:before="0"/>
            </w:pPr>
            <w:r/>
            <w:r>
              <w:rPr>
                <w:b/>
                <w:color w:val="FFFFFF"/>
                <w:sz w:val="17"/>
              </w:rPr>
              <w:t>Q3-25</w:t>
            </w:r>
          </w:p>
        </w:tc>
        <w:tc>
          <w:tcPr>
            <w:tcW w:type="dxa" w:w="1242"/>
            <w:shd w:val="clear" w:fill="152130"/>
          </w:tcPr>
          <w:p>
            <w:pPr>
              <w:spacing w:after="0" w:before="0"/>
            </w:pPr>
            <w:r/>
            <w:r>
              <w:rPr>
                <w:b/>
                <w:color w:val="FFFFFF"/>
                <w:sz w:val="17"/>
              </w:rPr>
              <w:t>Q2-25</w:t>
            </w:r>
          </w:p>
        </w:tc>
      </w:tr>
      <w:tr>
        <w:trPr>
          <w:cantSplit/>
        </w:trPr>
        <w:tc>
          <w:tcPr>
            <w:tcW w:type="dxa" w:w="1242"/>
          </w:tcPr>
          <w:p>
            <w:pPr>
              <w:spacing w:after="0" w:before="0"/>
            </w:pPr>
            <w:r/>
            <w:r>
              <w:rPr>
                <w:b/>
                <w:sz w:val="17"/>
              </w:rPr>
              <w:t>AIP Fund II¹</w:t>
            </w:r>
          </w:p>
        </w:tc>
        <w:tc>
          <w:tcPr>
            <w:tcW w:type="dxa" w:w="1242"/>
          </w:tcPr>
          <w:p>
            <w:pPr>
              <w:spacing w:after="0" w:before="0"/>
              <w:jc w:val="right"/>
            </w:pPr>
            <w:r/>
            <w:r>
              <w:rPr>
                <w:sz w:val="17"/>
              </w:rPr>
              <w:t>414.3</w:t>
            </w:r>
          </w:p>
        </w:tc>
        <w:tc>
          <w:tcPr>
            <w:tcW w:type="dxa" w:w="1242"/>
          </w:tcPr>
          <w:p>
            <w:pPr>
              <w:spacing w:after="0" w:before="0"/>
              <w:jc w:val="right"/>
            </w:pPr>
            <w:r/>
            <w:r>
              <w:rPr>
                <w:sz w:val="17"/>
              </w:rPr>
              <w:t>8.7</w:t>
            </w:r>
          </w:p>
        </w:tc>
        <w:tc>
          <w:tcPr>
            <w:tcW w:type="dxa" w:w="1242"/>
          </w:tcPr>
          <w:p>
            <w:pPr>
              <w:spacing w:after="0" w:before="0"/>
              <w:jc w:val="right"/>
            </w:pPr>
            <w:r/>
            <w:r>
              <w:rPr>
                <w:sz w:val="17"/>
              </w:rPr>
              <w:t>(5.0)</w:t>
            </w:r>
          </w:p>
        </w:tc>
        <w:tc>
          <w:tcPr>
            <w:tcW w:type="dxa" w:w="1242"/>
          </w:tcPr>
          <w:p>
            <w:pPr>
              <w:spacing w:after="0" w:before="0"/>
              <w:jc w:val="right"/>
            </w:pPr>
            <w:r/>
            <w:r>
              <w:rPr>
                <w:sz w:val="17"/>
              </w:rPr>
              <w:t>(5.0)</w:t>
            </w:r>
          </w:p>
        </w:tc>
        <w:tc>
          <w:tcPr>
            <w:tcW w:type="dxa" w:w="1242"/>
          </w:tcPr>
          <w:p>
            <w:pPr>
              <w:spacing w:after="0" w:before="0"/>
              <w:jc w:val="right"/>
            </w:pPr>
            <w:r/>
            <w:r>
              <w:rPr>
                <w:sz w:val="17"/>
              </w:rPr>
              <w:t>(5.1)</w:t>
            </w:r>
          </w:p>
        </w:tc>
        <w:tc>
          <w:tcPr>
            <w:tcW w:type="dxa" w:w="1242"/>
          </w:tcPr>
          <w:p>
            <w:pPr>
              <w:spacing w:after="0" w:before="0"/>
              <w:jc w:val="right"/>
            </w:pPr>
            <w:r/>
            <w:r>
              <w:rPr>
                <w:sz w:val="17"/>
              </w:rPr>
              <w:t>0.5</w:t>
            </w:r>
          </w:p>
        </w:tc>
        <w:tc>
          <w:tcPr>
            <w:tcW w:type="dxa" w:w="1242"/>
          </w:tcPr>
          <w:p>
            <w:pPr>
              <w:spacing w:after="0" w:before="0"/>
              <w:jc w:val="right"/>
            </w:pPr>
            <w:r/>
            <w:r>
              <w:rPr>
                <w:sz w:val="17"/>
              </w:rPr>
              <w:t>7.4</w:t>
            </w:r>
          </w:p>
        </w:tc>
      </w:tr>
      <w:tr>
        <w:trPr>
          <w:cantSplit/>
        </w:trPr>
        <w:tc>
          <w:tcPr>
            <w:tcW w:type="dxa" w:w="1242"/>
            <w:shd w:val="clear" w:fill="F6F7F9"/>
          </w:tcPr>
          <w:p>
            <w:pPr>
              <w:spacing w:after="0" w:before="0"/>
            </w:pPr>
            <w:r/>
            <w:r>
              <w:rPr>
                <w:b/>
                <w:sz w:val="17"/>
              </w:rPr>
              <w:t>MSCI World IMI</w:t>
            </w:r>
          </w:p>
        </w:tc>
        <w:tc>
          <w:tcPr>
            <w:tcW w:type="dxa" w:w="1242"/>
            <w:shd w:val="clear" w:fill="F6F7F9"/>
          </w:tcPr>
          <w:p>
            <w:pPr>
              <w:spacing w:after="0" w:before="0"/>
              <w:jc w:val="right"/>
            </w:pPr>
            <w:r/>
            <w:r>
              <w:rPr>
                <w:sz w:val="17"/>
              </w:rPr>
              <w:t>225.8</w:t>
            </w:r>
          </w:p>
        </w:tc>
        <w:tc>
          <w:tcPr>
            <w:tcW w:type="dxa" w:w="1242"/>
            <w:shd w:val="clear" w:fill="F6F7F9"/>
          </w:tcPr>
          <w:p>
            <w:pPr>
              <w:spacing w:after="0" w:before="0"/>
              <w:jc w:val="right"/>
            </w:pPr>
            <w:r/>
            <w:r>
              <w:rPr>
                <w:sz w:val="17"/>
              </w:rPr>
              <w:t>9.0</w:t>
            </w:r>
          </w:p>
        </w:tc>
        <w:tc>
          <w:tcPr>
            <w:tcW w:type="dxa" w:w="1242"/>
            <w:shd w:val="clear" w:fill="F6F7F9"/>
          </w:tcPr>
          <w:p>
            <w:pPr>
              <w:spacing w:after="0" w:before="0"/>
              <w:jc w:val="right"/>
            </w:pPr>
            <w:r/>
            <w:r>
              <w:rPr>
                <w:sz w:val="17"/>
              </w:rPr>
              <w:t>0.2</w:t>
            </w:r>
          </w:p>
        </w:tc>
        <w:tc>
          <w:tcPr>
            <w:tcW w:type="dxa" w:w="1242"/>
            <w:shd w:val="clear" w:fill="F6F7F9"/>
          </w:tcPr>
          <w:p>
            <w:pPr>
              <w:spacing w:after="0" w:before="0"/>
              <w:jc w:val="right"/>
            </w:pPr>
            <w:r/>
            <w:r>
              <w:rPr>
                <w:sz w:val="17"/>
              </w:rPr>
              <w:t>0.2</w:t>
            </w:r>
          </w:p>
        </w:tc>
        <w:tc>
          <w:tcPr>
            <w:tcW w:type="dxa" w:w="1242"/>
            <w:shd w:val="clear" w:fill="F6F7F9"/>
          </w:tcPr>
          <w:p>
            <w:pPr>
              <w:spacing w:after="0" w:before="0"/>
              <w:jc w:val="right"/>
            </w:pPr>
            <w:r/>
            <w:r>
              <w:rPr>
                <w:sz w:val="17"/>
              </w:rPr>
              <w:t>1.0</w:t>
            </w:r>
          </w:p>
        </w:tc>
        <w:tc>
          <w:tcPr>
            <w:tcW w:type="dxa" w:w="1242"/>
            <w:shd w:val="clear" w:fill="F6F7F9"/>
          </w:tcPr>
          <w:p>
            <w:pPr>
              <w:spacing w:after="0" w:before="0"/>
              <w:jc w:val="right"/>
            </w:pPr>
            <w:r/>
            <w:r>
              <w:rPr>
                <w:sz w:val="17"/>
              </w:rPr>
              <w:t>6.0</w:t>
            </w:r>
          </w:p>
        </w:tc>
        <w:tc>
          <w:tcPr>
            <w:tcW w:type="dxa" w:w="1242"/>
            <w:shd w:val="clear" w:fill="F6F7F9"/>
          </w:tcPr>
          <w:p>
            <w:pPr>
              <w:spacing w:after="0" w:before="0"/>
              <w:jc w:val="right"/>
            </w:pPr>
            <w:r/>
            <w:r>
              <w:rPr>
                <w:sz w:val="17"/>
              </w:rPr>
              <w:t>5.8</w:t>
            </w:r>
          </w:p>
        </w:tc>
      </w:tr>
      <w:tr>
        <w:trPr>
          <w:cantSplit/>
        </w:trPr>
        <w:tc>
          <w:tcPr>
            <w:tcW w:type="dxa" w:w="1242"/>
          </w:tcPr>
          <w:p>
            <w:pPr>
              <w:spacing w:after="0" w:before="0"/>
            </w:pPr>
            <w:r/>
            <w:r>
              <w:rPr>
                <w:b/>
                <w:sz w:val="17"/>
              </w:rPr>
              <w:t>DJ Stoxx 600 GRt</w:t>
            </w:r>
          </w:p>
        </w:tc>
        <w:tc>
          <w:tcPr>
            <w:tcW w:type="dxa" w:w="1242"/>
          </w:tcPr>
          <w:p>
            <w:pPr>
              <w:spacing w:after="0" w:before="0"/>
              <w:jc w:val="right"/>
            </w:pPr>
            <w:r/>
            <w:r>
              <w:rPr>
                <w:sz w:val="17"/>
              </w:rPr>
              <w:t>148.0</w:t>
            </w:r>
          </w:p>
        </w:tc>
        <w:tc>
          <w:tcPr>
            <w:tcW w:type="dxa" w:w="1242"/>
          </w:tcPr>
          <w:p>
            <w:pPr>
              <w:spacing w:after="0" w:before="0"/>
              <w:jc w:val="right"/>
            </w:pPr>
            <w:r/>
            <w:r>
              <w:rPr>
                <w:sz w:val="17"/>
              </w:rPr>
              <w:t>8.6</w:t>
            </w:r>
          </w:p>
        </w:tc>
        <w:tc>
          <w:tcPr>
            <w:tcW w:type="dxa" w:w="1242"/>
          </w:tcPr>
          <w:p>
            <w:pPr>
              <w:spacing w:after="0" w:before="0"/>
              <w:jc w:val="right"/>
            </w:pPr>
            <w:r/>
            <w:r>
              <w:rPr>
                <w:sz w:val="17"/>
              </w:rPr>
              <w:t>0.5</w:t>
            </w:r>
          </w:p>
        </w:tc>
        <w:tc>
          <w:tcPr>
            <w:tcW w:type="dxa" w:w="1242"/>
          </w:tcPr>
          <w:p>
            <w:pPr>
              <w:spacing w:after="0" w:before="0"/>
              <w:jc w:val="right"/>
            </w:pPr>
            <w:r/>
            <w:r>
              <w:rPr>
                <w:sz w:val="17"/>
              </w:rPr>
              <w:t>0.5</w:t>
            </w:r>
          </w:p>
        </w:tc>
        <w:tc>
          <w:tcPr>
            <w:tcW w:type="dxa" w:w="1242"/>
          </w:tcPr>
          <w:p>
            <w:pPr>
              <w:spacing w:after="0" w:before="0"/>
              <w:jc w:val="right"/>
            </w:pPr>
            <w:r/>
            <w:r>
              <w:rPr>
                <w:sz w:val="17"/>
              </w:rPr>
              <w:t>4.3</w:t>
            </w:r>
          </w:p>
        </w:tc>
        <w:tc>
          <w:tcPr>
            <w:tcW w:type="dxa" w:w="1242"/>
          </w:tcPr>
          <w:p>
            <w:pPr>
              <w:spacing w:after="0" w:before="0"/>
              <w:jc w:val="right"/>
            </w:pPr>
            <w:r/>
            <w:r>
              <w:rPr>
                <w:sz w:val="17"/>
              </w:rPr>
              <w:t>2.2</w:t>
            </w:r>
          </w:p>
        </w:tc>
        <w:tc>
          <w:tcPr>
            <w:tcW w:type="dxa" w:w="1242"/>
          </w:tcPr>
          <w:p>
            <w:pPr>
              <w:spacing w:after="0" w:before="0"/>
              <w:jc w:val="right"/>
            </w:pPr>
            <w:r/>
            <w:r>
              <w:rPr>
                <w:sz w:val="17"/>
              </w:rPr>
              <w:t>6.5</w:t>
            </w:r>
          </w:p>
        </w:tc>
      </w:tr>
    </w:tbl>
    <w:p>
      <w:pPr>
        <w:spacing w:before="40" w:after="60" w:line="269" w:lineRule="auto"/>
        <w:jc w:val="left"/>
      </w:pPr>
      <w:r>
        <w:rPr>
          <w:b w:val="0"/>
          <w:i/>
          <w:color w:val="556A83"/>
          <w:sz w:val="16"/>
        </w:rPr>
        <w:t>Notes: 1) Inception 23 Feb 2015; share class E (1.75% management fee and 20% incentive fee). Source: StatPro. Indices are currency-adjusted where applicable and calculated with reinvested dividends.</w:t>
      </w:r>
    </w:p>
    <w:p>
      <w:pPr>
        <w:keepNext/>
        <w:spacing w:before="200" w:after="80"/>
      </w:pPr>
      <w:r>
        <w:rPr>
          <w:rFonts w:ascii="Times New Roman" w:hAnsi="Times New Roman"/>
          <w:b/>
          <w:color w:val="152130"/>
          <w:sz w:val="24"/>
        </w:rPr>
        <w:t>Contributions, Q1 2026 (%)</w:t>
      </w:r>
    </w:p>
    <w:p>
      <w:pPr>
        <w:spacing w:before="40" w:after="60" w:line="269" w:lineRule="auto"/>
        <w:jc w:val="left"/>
      </w:pPr>
      <w:r>
        <w:rPr>
          <w:b w:val="0"/>
          <w:i/>
          <w:color w:val="556A83"/>
          <w:sz w:val="18"/>
        </w:rPr>
        <w:t>Top 5 and bottom 5 investment contributors during the period 31 December 2025 – 31 March 2026.</w:t>
      </w:r>
    </w:p>
    <w:tbl>
      <w:tblPr>
        <w:tblW w:type="auto" w:w="0"/>
        <w:tblLayout w:type="autofit"/>
        <w:tblLook w:firstColumn="1" w:firstRow="1" w:lastColumn="0" w:lastRow="0" w:noHBand="0" w:noVBand="1" w:val="04A0"/>
      </w:tblPr>
      <w:tblGrid>
        <w:gridCol w:w="4968"/>
        <w:gridCol w:w="4968"/>
      </w:tblGrid>
      <w:tr>
        <w:trPr>
          <w:cantSplit/>
        </w:trPr>
        <w:tc>
          <w:tcPr>
            <w:tcW w:type="dxa" w:w="4968"/>
          </w:tcPr>
          <w:p>
            <w:r>
              <w:rPr>
                <w:rFonts w:ascii="Arial" w:hAnsi="Arial"/>
                <w:b/>
                <w:color w:val="314359"/>
                <w:sz w:val="20"/>
              </w:rPr>
              <w:t>Top contributors</w:t>
            </w:r>
          </w:p>
          <w:tbl>
            <w:tblPr>
              <w:tblStyle w:val="TableGrid"/>
              <w:tblW w:type="auto" w:w="0"/>
              <w:tblLook w:firstColumn="1" w:firstRow="1" w:lastColumn="0" w:lastRow="0" w:noHBand="0" w:noVBand="1" w:val="04A0"/>
            </w:tblPr>
            <w:tblGrid>
              <w:gridCol w:w="2484"/>
              <w:gridCol w:w="2484"/>
            </w:tblGrid>
            <w:tr>
              <w:tc>
                <w:tcPr>
                  <w:tcW w:type="dxa" w:w="2484"/>
                </w:tcPr>
                <w:p>
                  <w:r/>
                  <w:r>
                    <w:rPr>
                      <w:sz w:val="18"/>
                    </w:rPr>
                    <w:t>LunR Royalties</w:t>
                  </w:r>
                </w:p>
              </w:tc>
              <w:tc>
                <w:tcPr>
                  <w:tcW w:type="dxa" w:w="2484"/>
                </w:tcPr>
                <w:p>
                  <w:pPr>
                    <w:jc w:val="right"/>
                  </w:pPr>
                  <w:r/>
                  <w:r>
                    <w:rPr>
                      <w:sz w:val="18"/>
                    </w:rPr>
                    <w:t>1.2</w:t>
                  </w:r>
                </w:p>
              </w:tc>
            </w:tr>
            <w:tr>
              <w:tc>
                <w:tcPr>
                  <w:tcW w:type="dxa" w:w="2484"/>
                </w:tcPr>
                <w:p>
                  <w:r/>
                  <w:r>
                    <w:rPr>
                      <w:sz w:val="18"/>
                    </w:rPr>
                    <w:t>Zalaris</w:t>
                  </w:r>
                </w:p>
              </w:tc>
              <w:tc>
                <w:tcPr>
                  <w:tcW w:type="dxa" w:w="2484"/>
                </w:tcPr>
                <w:p>
                  <w:pPr>
                    <w:jc w:val="right"/>
                  </w:pPr>
                  <w:r/>
                  <w:r>
                    <w:rPr>
                      <w:sz w:val="18"/>
                    </w:rPr>
                    <w:t>0.3</w:t>
                  </w:r>
                </w:p>
              </w:tc>
            </w:tr>
            <w:tr>
              <w:tc>
                <w:tcPr>
                  <w:tcW w:type="dxa" w:w="2484"/>
                </w:tcPr>
                <w:p>
                  <w:r/>
                  <w:r>
                    <w:rPr>
                      <w:sz w:val="18"/>
                    </w:rPr>
                    <w:t>Celina</w:t>
                  </w:r>
                </w:p>
              </w:tc>
              <w:tc>
                <w:tcPr>
                  <w:tcW w:type="dxa" w:w="2484"/>
                </w:tcPr>
                <w:p>
                  <w:pPr>
                    <w:jc w:val="right"/>
                  </w:pPr>
                  <w:r/>
                  <w:r>
                    <w:rPr>
                      <w:sz w:val="18"/>
                    </w:rPr>
                    <w:t>0.0</w:t>
                  </w:r>
                </w:p>
              </w:tc>
            </w:tr>
            <w:tr>
              <w:tc>
                <w:tcPr>
                  <w:tcW w:type="dxa" w:w="2484"/>
                </w:tcPr>
                <w:p>
                  <w:r/>
                  <w:r>
                    <w:rPr>
                      <w:sz w:val="18"/>
                    </w:rPr>
                    <w:t>Distit Bond</w:t>
                  </w:r>
                </w:p>
              </w:tc>
              <w:tc>
                <w:tcPr>
                  <w:tcW w:type="dxa" w:w="2484"/>
                </w:tcPr>
                <w:p>
                  <w:pPr>
                    <w:jc w:val="right"/>
                  </w:pPr>
                  <w:r/>
                  <w:r>
                    <w:rPr>
                      <w:sz w:val="18"/>
                    </w:rPr>
                    <w:t>0.0</w:t>
                  </w:r>
                </w:p>
              </w:tc>
            </w:tr>
          </w:tbl>
          <w:p/>
        </w:tc>
        <w:tc>
          <w:tcPr>
            <w:tcW w:type="dxa" w:w="4968"/>
          </w:tcPr>
          <w:p>
            <w:r>
              <w:rPr>
                <w:rFonts w:ascii="Arial" w:hAnsi="Arial"/>
                <w:b/>
                <w:color w:val="314359"/>
                <w:sz w:val="20"/>
              </w:rPr>
              <w:t>Bottom contributors</w:t>
            </w:r>
          </w:p>
          <w:tbl>
            <w:tblPr>
              <w:tblStyle w:val="TableGrid"/>
              <w:tblW w:type="auto" w:w="0"/>
              <w:tblLook w:firstColumn="1" w:firstRow="1" w:lastColumn="0" w:lastRow="0" w:noHBand="0" w:noVBand="1" w:val="04A0"/>
            </w:tblPr>
            <w:tblGrid>
              <w:gridCol w:w="2484"/>
              <w:gridCol w:w="2484"/>
            </w:tblGrid>
            <w:tr>
              <w:tc>
                <w:tcPr>
                  <w:tcW w:type="dxa" w:w="2484"/>
                </w:tcPr>
                <w:p>
                  <w:r/>
                  <w:r>
                    <w:rPr>
                      <w:sz w:val="18"/>
                    </w:rPr>
                    <w:t>Somero</w:t>
                  </w:r>
                </w:p>
              </w:tc>
              <w:tc>
                <w:tcPr>
                  <w:tcW w:type="dxa" w:w="2484"/>
                </w:tcPr>
                <w:p>
                  <w:pPr>
                    <w:jc w:val="right"/>
                  </w:pPr>
                  <w:r/>
                  <w:r>
                    <w:rPr>
                      <w:sz w:val="18"/>
                    </w:rPr>
                    <w:t>(1.9)</w:t>
                  </w:r>
                </w:p>
              </w:tc>
            </w:tr>
            <w:tr>
              <w:tc>
                <w:tcPr>
                  <w:tcW w:type="dxa" w:w="2484"/>
                </w:tcPr>
                <w:p>
                  <w:r/>
                  <w:r>
                    <w:rPr>
                      <w:sz w:val="18"/>
                    </w:rPr>
                    <w:t>Röko</w:t>
                  </w:r>
                </w:p>
              </w:tc>
              <w:tc>
                <w:tcPr>
                  <w:tcW w:type="dxa" w:w="2484"/>
                </w:tcPr>
                <w:p>
                  <w:pPr>
                    <w:jc w:val="right"/>
                  </w:pPr>
                  <w:r/>
                  <w:r>
                    <w:rPr>
                      <w:sz w:val="18"/>
                    </w:rPr>
                    <w:t>(1.3)</w:t>
                  </w:r>
                </w:p>
              </w:tc>
            </w:tr>
            <w:tr>
              <w:tc>
                <w:tcPr>
                  <w:tcW w:type="dxa" w:w="2484"/>
                </w:tcPr>
                <w:p>
                  <w:r/>
                  <w:r>
                    <w:rPr>
                      <w:sz w:val="18"/>
                    </w:rPr>
                    <w:t>Athanase Innovation</w:t>
                  </w:r>
                </w:p>
              </w:tc>
              <w:tc>
                <w:tcPr>
                  <w:tcW w:type="dxa" w:w="2484"/>
                </w:tcPr>
                <w:p>
                  <w:pPr>
                    <w:jc w:val="right"/>
                  </w:pPr>
                  <w:r/>
                  <w:r>
                    <w:rPr>
                      <w:sz w:val="18"/>
                    </w:rPr>
                    <w:t>(0.9)</w:t>
                  </w:r>
                </w:p>
              </w:tc>
            </w:tr>
            <w:tr>
              <w:tc>
                <w:tcPr>
                  <w:tcW w:type="dxa" w:w="2484"/>
                </w:tcPr>
                <w:p>
                  <w:r/>
                  <w:r>
                    <w:rPr>
                      <w:sz w:val="18"/>
                    </w:rPr>
                    <w:t>Auto Trader Group</w:t>
                  </w:r>
                </w:p>
              </w:tc>
              <w:tc>
                <w:tcPr>
                  <w:tcW w:type="dxa" w:w="2484"/>
                </w:tcPr>
                <w:p>
                  <w:pPr>
                    <w:jc w:val="right"/>
                  </w:pPr>
                  <w:r/>
                  <w:r>
                    <w:rPr>
                      <w:sz w:val="18"/>
                    </w:rPr>
                    <w:t>(0.7)</w:t>
                  </w:r>
                </w:p>
              </w:tc>
            </w:tr>
            <w:tr>
              <w:tc>
                <w:tcPr>
                  <w:tcW w:type="dxa" w:w="2484"/>
                </w:tcPr>
                <w:p>
                  <w:r/>
                  <w:r>
                    <w:rPr>
                      <w:sz w:val="18"/>
                    </w:rPr>
                    <w:t>Rightmove</w:t>
                  </w:r>
                </w:p>
              </w:tc>
              <w:tc>
                <w:tcPr>
                  <w:tcW w:type="dxa" w:w="2484"/>
                </w:tcPr>
                <w:p>
                  <w:pPr>
                    <w:jc w:val="right"/>
                  </w:pPr>
                  <w:r/>
                  <w:r>
                    <w:rPr>
                      <w:sz w:val="18"/>
                    </w:rPr>
                    <w:t>(0.6)</w:t>
                  </w:r>
                </w:p>
              </w:tc>
            </w:tr>
          </w:tbl>
          <w:p/>
        </w:tc>
      </w:tr>
    </w:tbl>
    <w:p>
      <w:pPr>
        <w:keepNext/>
        <w:spacing w:before="240" w:after="80"/>
      </w:pPr>
      <w:r>
        <w:rPr>
          <w:rFonts w:ascii="Times New Roman" w:hAnsi="Times New Roman"/>
          <w:b/>
          <w:color w:val="152130"/>
          <w:sz w:val="24"/>
        </w:rPr>
        <w:t>Risk exposures (%)</w:t>
      </w:r>
    </w:p>
    <w:tbl>
      <w:tblPr>
        <w:tblStyle w:val="TableGrid"/>
        <w:tblW w:type="auto" w:w="0"/>
        <w:jc w:val="left"/>
        <w:tblLook w:firstColumn="1" w:firstRow="1" w:lastColumn="0" w:lastRow="0" w:noHBand="0" w:noVBand="1" w:val="04A0"/>
      </w:tblPr>
      <w:tblGrid>
        <w:gridCol w:w="2484"/>
        <w:gridCol w:w="2484"/>
        <w:gridCol w:w="2484"/>
        <w:gridCol w:w="2484"/>
      </w:tblGrid>
      <w:tr>
        <w:trPr>
          <w:cantSplit/>
        </w:trPr>
        <w:tc>
          <w:tcPr>
            <w:tcW w:type="dxa" w:w="2484"/>
            <w:shd w:val="clear" w:fill="152130"/>
          </w:tcPr>
          <w:p>
            <w:pPr>
              <w:spacing w:after="0" w:before="0"/>
            </w:pPr>
            <w:r/>
            <w:r>
              <w:rPr>
                <w:b/>
                <w:color w:val="FFFFFF"/>
                <w:sz w:val="17"/>
              </w:rPr>
              <w:t>Metric</w:t>
            </w:r>
          </w:p>
        </w:tc>
        <w:tc>
          <w:tcPr>
            <w:tcW w:type="dxa" w:w="2484"/>
            <w:shd w:val="clear" w:fill="152130"/>
          </w:tcPr>
          <w:p>
            <w:pPr>
              <w:spacing w:after="0" w:before="0"/>
            </w:pPr>
            <w:r/>
            <w:r>
              <w:rPr>
                <w:b/>
                <w:color w:val="FFFFFF"/>
                <w:sz w:val="17"/>
              </w:rPr>
              <w:t>Value</w:t>
            </w:r>
          </w:p>
        </w:tc>
        <w:tc>
          <w:tcPr>
            <w:tcW w:type="dxa" w:w="2484"/>
            <w:shd w:val="clear" w:fill="152130"/>
          </w:tcPr>
          <w:p>
            <w:pPr>
              <w:spacing w:after="0" w:before="0"/>
            </w:pPr>
            <w:r/>
            <w:r>
              <w:rPr>
                <w:b/>
                <w:color w:val="FFFFFF"/>
                <w:sz w:val="17"/>
              </w:rPr>
              <w:t>Metric</w:t>
            </w:r>
          </w:p>
        </w:tc>
        <w:tc>
          <w:tcPr>
            <w:tcW w:type="dxa" w:w="2484"/>
            <w:shd w:val="clear" w:fill="152130"/>
          </w:tcPr>
          <w:p>
            <w:pPr>
              <w:spacing w:after="0" w:before="0"/>
            </w:pPr>
            <w:r/>
            <w:r>
              <w:rPr>
                <w:b/>
                <w:color w:val="FFFFFF"/>
                <w:sz w:val="17"/>
              </w:rPr>
              <w:t>Value</w:t>
            </w:r>
          </w:p>
        </w:tc>
      </w:tr>
      <w:tr>
        <w:trPr>
          <w:cantSplit/>
        </w:trPr>
        <w:tc>
          <w:tcPr>
            <w:tcW w:type="dxa" w:w="2484"/>
          </w:tcPr>
          <w:p>
            <w:pPr>
              <w:spacing w:after="0" w:before="0"/>
            </w:pPr>
            <w:r/>
            <w:r>
              <w:rPr>
                <w:b/>
                <w:sz w:val="17"/>
              </w:rPr>
              <w:t>Downside risk</w:t>
            </w:r>
          </w:p>
        </w:tc>
        <w:tc>
          <w:tcPr>
            <w:tcW w:type="dxa" w:w="2484"/>
          </w:tcPr>
          <w:p>
            <w:pPr>
              <w:spacing w:after="0" w:before="0"/>
              <w:jc w:val="right"/>
            </w:pPr>
            <w:r/>
            <w:r>
              <w:rPr>
                <w:sz w:val="17"/>
              </w:rPr>
              <w:t>8.7</w:t>
            </w:r>
          </w:p>
        </w:tc>
        <w:tc>
          <w:tcPr>
            <w:tcW w:type="dxa" w:w="2484"/>
          </w:tcPr>
          <w:p>
            <w:pPr>
              <w:spacing w:after="0" w:before="0"/>
              <w:jc w:val="right"/>
            </w:pPr>
            <w:r/>
            <w:r>
              <w:rPr>
                <w:sz w:val="17"/>
              </w:rPr>
              <w:t># Positions</w:t>
            </w:r>
          </w:p>
        </w:tc>
        <w:tc>
          <w:tcPr>
            <w:tcW w:type="dxa" w:w="2484"/>
          </w:tcPr>
          <w:p>
            <w:pPr>
              <w:spacing w:after="0" w:before="0"/>
              <w:jc w:val="right"/>
            </w:pPr>
            <w:r/>
            <w:r>
              <w:rPr>
                <w:sz w:val="17"/>
              </w:rPr>
              <w:t>17</w:t>
            </w:r>
          </w:p>
        </w:tc>
      </w:tr>
      <w:tr>
        <w:trPr>
          <w:cantSplit/>
        </w:trPr>
        <w:tc>
          <w:tcPr>
            <w:tcW w:type="dxa" w:w="2484"/>
            <w:shd w:val="clear" w:fill="F6F7F9"/>
          </w:tcPr>
          <w:p>
            <w:pPr>
              <w:spacing w:after="0" w:before="0"/>
            </w:pPr>
            <w:r/>
            <w:r>
              <w:rPr>
                <w:b/>
                <w:sz w:val="17"/>
              </w:rPr>
              <w:t>VaR (1d; 95%)</w:t>
            </w:r>
          </w:p>
        </w:tc>
        <w:tc>
          <w:tcPr>
            <w:tcW w:type="dxa" w:w="2484"/>
            <w:shd w:val="clear" w:fill="F6F7F9"/>
          </w:tcPr>
          <w:p>
            <w:pPr>
              <w:spacing w:after="0" w:before="0"/>
              <w:jc w:val="right"/>
            </w:pPr>
            <w:r/>
            <w:r>
              <w:rPr>
                <w:sz w:val="17"/>
              </w:rPr>
              <w:t>1.5</w:t>
            </w:r>
          </w:p>
        </w:tc>
        <w:tc>
          <w:tcPr>
            <w:tcW w:type="dxa" w:w="2484"/>
            <w:shd w:val="clear" w:fill="F6F7F9"/>
          </w:tcPr>
          <w:p>
            <w:pPr>
              <w:spacing w:after="0" w:before="0"/>
              <w:jc w:val="right"/>
            </w:pPr>
            <w:r/>
            <w:r>
              <w:rPr>
                <w:sz w:val="17"/>
              </w:rPr>
              <w:t>Cash</w:t>
            </w:r>
          </w:p>
        </w:tc>
        <w:tc>
          <w:tcPr>
            <w:tcW w:type="dxa" w:w="2484"/>
            <w:shd w:val="clear" w:fill="F6F7F9"/>
          </w:tcPr>
          <w:p>
            <w:pPr>
              <w:spacing w:after="0" w:before="0"/>
              <w:jc w:val="right"/>
            </w:pPr>
            <w:r/>
            <w:r>
              <w:rPr>
                <w:sz w:val="17"/>
              </w:rPr>
              <w:t>6.9</w:t>
            </w:r>
          </w:p>
        </w:tc>
      </w:tr>
      <w:tr>
        <w:trPr>
          <w:cantSplit/>
        </w:trPr>
        <w:tc>
          <w:tcPr>
            <w:tcW w:type="dxa" w:w="2484"/>
          </w:tcPr>
          <w:p>
            <w:pPr>
              <w:spacing w:after="0" w:before="0"/>
            </w:pPr>
            <w:r/>
            <w:r>
              <w:rPr>
                <w:b/>
                <w:sz w:val="17"/>
              </w:rPr>
              <w:t>Gross exposure</w:t>
            </w:r>
          </w:p>
        </w:tc>
        <w:tc>
          <w:tcPr>
            <w:tcW w:type="dxa" w:w="2484"/>
          </w:tcPr>
          <w:p>
            <w:pPr>
              <w:spacing w:after="0" w:before="0"/>
              <w:jc w:val="right"/>
            </w:pPr>
            <w:r/>
            <w:r>
              <w:rPr>
                <w:sz w:val="17"/>
              </w:rPr>
              <w:t>85.3</w:t>
            </w:r>
          </w:p>
        </w:tc>
        <w:tc>
          <w:tcPr>
            <w:tcW w:type="dxa" w:w="2484"/>
          </w:tcPr>
          <w:p>
            <w:pPr>
              <w:spacing w:after="0" w:before="0"/>
              <w:jc w:val="right"/>
            </w:pPr>
            <w:r/>
            <w:r>
              <w:rPr>
                <w:sz w:val="17"/>
              </w:rPr>
              <w:t>Net exposure</w:t>
            </w:r>
          </w:p>
        </w:tc>
        <w:tc>
          <w:tcPr>
            <w:tcW w:type="dxa" w:w="2484"/>
          </w:tcPr>
          <w:p>
            <w:pPr>
              <w:spacing w:after="0" w:before="0"/>
              <w:jc w:val="right"/>
            </w:pPr>
            <w:r/>
            <w:r>
              <w:rPr>
                <w:sz w:val="17"/>
              </w:rPr>
              <w:t>85.3</w:t>
            </w:r>
          </w:p>
        </w:tc>
      </w:tr>
    </w:tbl>
    <w:p>
      <w:pPr>
        <w:keepNext/>
        <w:spacing w:before="240" w:after="80"/>
      </w:pPr>
      <w:r>
        <w:rPr>
          <w:rFonts w:ascii="Times New Roman" w:hAnsi="Times New Roman"/>
          <w:b/>
          <w:color w:val="152130"/>
          <w:sz w:val="24"/>
        </w:rPr>
        <w:t>Liquidity profile (% NAV)</w:t>
      </w:r>
    </w:p>
    <w:tbl>
      <w:tblPr>
        <w:tblStyle w:val="TableGrid"/>
        <w:tblW w:type="auto" w:w="0"/>
        <w:jc w:val="left"/>
        <w:tblLook w:firstColumn="1" w:firstRow="1" w:lastColumn="0" w:lastRow="0" w:noHBand="0" w:noVBand="1" w:val="04A0"/>
      </w:tblPr>
      <w:tblGrid>
        <w:gridCol w:w="2484"/>
        <w:gridCol w:w="2484"/>
        <w:gridCol w:w="2484"/>
        <w:gridCol w:w="2484"/>
      </w:tblGrid>
      <w:tr>
        <w:trPr>
          <w:cantSplit/>
        </w:trPr>
        <w:tc>
          <w:tcPr>
            <w:tcW w:type="dxa" w:w="2484"/>
            <w:shd w:val="clear" w:fill="152130"/>
          </w:tcPr>
          <w:p>
            <w:pPr>
              <w:spacing w:after="0" w:before="0"/>
            </w:pPr>
            <w:r/>
            <w:r>
              <w:rPr>
                <w:b/>
                <w:color w:val="FFFFFF"/>
                <w:sz w:val="17"/>
              </w:rPr>
              <w:t>Horizon</w:t>
            </w:r>
          </w:p>
        </w:tc>
        <w:tc>
          <w:tcPr>
            <w:tcW w:type="dxa" w:w="2484"/>
            <w:shd w:val="clear" w:fill="152130"/>
          </w:tcPr>
          <w:p>
            <w:pPr>
              <w:spacing w:after="0" w:before="0"/>
            </w:pPr>
            <w:r/>
            <w:r>
              <w:rPr>
                <w:b/>
                <w:color w:val="FFFFFF"/>
                <w:sz w:val="17"/>
              </w:rPr>
              <w:t>% NAV</w:t>
            </w:r>
          </w:p>
        </w:tc>
        <w:tc>
          <w:tcPr>
            <w:tcW w:type="dxa" w:w="2484"/>
            <w:shd w:val="clear" w:fill="152130"/>
          </w:tcPr>
          <w:p>
            <w:pPr>
              <w:spacing w:after="0" w:before="0"/>
            </w:pPr>
            <w:r/>
            <w:r>
              <w:rPr>
                <w:b/>
                <w:color w:val="FFFFFF"/>
                <w:sz w:val="17"/>
              </w:rPr>
              <w:t>Horizon</w:t>
            </w:r>
          </w:p>
        </w:tc>
        <w:tc>
          <w:tcPr>
            <w:tcW w:type="dxa" w:w="2484"/>
            <w:shd w:val="clear" w:fill="152130"/>
          </w:tcPr>
          <w:p>
            <w:pPr>
              <w:spacing w:after="0" w:before="0"/>
            </w:pPr>
            <w:r/>
            <w:r>
              <w:rPr>
                <w:b/>
                <w:color w:val="FFFFFF"/>
                <w:sz w:val="17"/>
              </w:rPr>
              <w:t>% NAV</w:t>
            </w:r>
          </w:p>
        </w:tc>
      </w:tr>
      <w:tr>
        <w:trPr>
          <w:cantSplit/>
        </w:trPr>
        <w:tc>
          <w:tcPr>
            <w:tcW w:type="dxa" w:w="2484"/>
          </w:tcPr>
          <w:p>
            <w:pPr>
              <w:spacing w:after="0" w:before="0"/>
            </w:pPr>
            <w:r/>
            <w:r>
              <w:rPr>
                <w:b/>
                <w:sz w:val="17"/>
              </w:rPr>
              <w:t>1 day or less</w:t>
            </w:r>
          </w:p>
        </w:tc>
        <w:tc>
          <w:tcPr>
            <w:tcW w:type="dxa" w:w="2484"/>
          </w:tcPr>
          <w:p>
            <w:pPr>
              <w:spacing w:after="0" w:before="0"/>
              <w:jc w:val="right"/>
            </w:pPr>
            <w:r/>
            <w:r>
              <w:rPr>
                <w:sz w:val="17"/>
              </w:rPr>
              <w:t>22.5</w:t>
            </w:r>
          </w:p>
        </w:tc>
        <w:tc>
          <w:tcPr>
            <w:tcW w:type="dxa" w:w="2484"/>
          </w:tcPr>
          <w:p>
            <w:pPr>
              <w:spacing w:after="0" w:before="0"/>
              <w:jc w:val="right"/>
            </w:pPr>
            <w:r/>
            <w:r>
              <w:rPr>
                <w:sz w:val="17"/>
              </w:rPr>
              <w:t>91 – 180 days</w:t>
            </w:r>
          </w:p>
        </w:tc>
        <w:tc>
          <w:tcPr>
            <w:tcW w:type="dxa" w:w="2484"/>
          </w:tcPr>
          <w:p>
            <w:pPr>
              <w:spacing w:after="0" w:before="0"/>
              <w:jc w:val="right"/>
            </w:pPr>
            <w:r/>
            <w:r>
              <w:rPr>
                <w:sz w:val="17"/>
              </w:rPr>
              <w:t>7.5</w:t>
            </w:r>
          </w:p>
        </w:tc>
      </w:tr>
      <w:tr>
        <w:trPr>
          <w:cantSplit/>
        </w:trPr>
        <w:tc>
          <w:tcPr>
            <w:tcW w:type="dxa" w:w="2484"/>
            <w:shd w:val="clear" w:fill="F6F7F9"/>
          </w:tcPr>
          <w:p>
            <w:pPr>
              <w:spacing w:after="0" w:before="0"/>
            </w:pPr>
            <w:r/>
            <w:r>
              <w:rPr>
                <w:b/>
                <w:sz w:val="17"/>
              </w:rPr>
              <w:t>2 – 7 days</w:t>
            </w:r>
          </w:p>
        </w:tc>
        <w:tc>
          <w:tcPr>
            <w:tcW w:type="dxa" w:w="2484"/>
            <w:shd w:val="clear" w:fill="F6F7F9"/>
          </w:tcPr>
          <w:p>
            <w:pPr>
              <w:spacing w:after="0" w:before="0"/>
              <w:jc w:val="right"/>
            </w:pPr>
            <w:r/>
            <w:r>
              <w:rPr>
                <w:sz w:val="17"/>
              </w:rPr>
              <w:t>15.5</w:t>
            </w:r>
          </w:p>
        </w:tc>
        <w:tc>
          <w:tcPr>
            <w:tcW w:type="dxa" w:w="2484"/>
            <w:shd w:val="clear" w:fill="F6F7F9"/>
          </w:tcPr>
          <w:p>
            <w:pPr>
              <w:spacing w:after="0" w:before="0"/>
              <w:jc w:val="right"/>
            </w:pPr>
            <w:r/>
            <w:r>
              <w:rPr>
                <w:sz w:val="17"/>
              </w:rPr>
              <w:t>181 – 365 days</w:t>
            </w:r>
          </w:p>
        </w:tc>
        <w:tc>
          <w:tcPr>
            <w:tcW w:type="dxa" w:w="2484"/>
            <w:shd w:val="clear" w:fill="F6F7F9"/>
          </w:tcPr>
          <w:p>
            <w:pPr>
              <w:spacing w:after="0" w:before="0"/>
              <w:jc w:val="right"/>
            </w:pPr>
            <w:r/>
            <w:r>
              <w:rPr>
                <w:sz w:val="17"/>
              </w:rPr>
              <w:t>2.4</w:t>
            </w:r>
          </w:p>
        </w:tc>
      </w:tr>
      <w:tr>
        <w:trPr>
          <w:cantSplit/>
        </w:trPr>
        <w:tc>
          <w:tcPr>
            <w:tcW w:type="dxa" w:w="2484"/>
          </w:tcPr>
          <w:p>
            <w:pPr>
              <w:spacing w:after="0" w:before="0"/>
            </w:pPr>
            <w:r/>
            <w:r>
              <w:rPr>
                <w:b/>
                <w:sz w:val="17"/>
              </w:rPr>
              <w:t>8 – 30 days</w:t>
            </w:r>
          </w:p>
        </w:tc>
        <w:tc>
          <w:tcPr>
            <w:tcW w:type="dxa" w:w="2484"/>
          </w:tcPr>
          <w:p>
            <w:pPr>
              <w:spacing w:after="0" w:before="0"/>
              <w:jc w:val="right"/>
            </w:pPr>
            <w:r/>
            <w:r>
              <w:rPr>
                <w:sz w:val="17"/>
              </w:rPr>
              <w:t>4.5</w:t>
            </w:r>
          </w:p>
        </w:tc>
        <w:tc>
          <w:tcPr>
            <w:tcW w:type="dxa" w:w="2484"/>
          </w:tcPr>
          <w:p>
            <w:pPr>
              <w:spacing w:after="0" w:before="0"/>
              <w:jc w:val="right"/>
            </w:pPr>
            <w:r/>
            <w:r>
              <w:rPr>
                <w:sz w:val="17"/>
              </w:rPr>
              <w:t>More than 365 days</w:t>
            </w:r>
          </w:p>
        </w:tc>
        <w:tc>
          <w:tcPr>
            <w:tcW w:type="dxa" w:w="2484"/>
          </w:tcPr>
          <w:p>
            <w:pPr>
              <w:spacing w:after="0" w:before="0"/>
              <w:jc w:val="right"/>
            </w:pPr>
            <w:r/>
            <w:r>
              <w:rPr>
                <w:sz w:val="17"/>
              </w:rPr>
              <w:t>29.2</w:t>
            </w:r>
          </w:p>
        </w:tc>
      </w:tr>
      <w:tr>
        <w:trPr>
          <w:cantSplit/>
        </w:trPr>
        <w:tc>
          <w:tcPr>
            <w:tcW w:type="dxa" w:w="2484"/>
            <w:shd w:val="clear" w:fill="F6F7F9"/>
          </w:tcPr>
          <w:p>
            <w:pPr>
              <w:spacing w:after="0" w:before="0"/>
            </w:pPr>
            <w:r/>
            <w:r>
              <w:rPr>
                <w:b/>
                <w:sz w:val="17"/>
              </w:rPr>
              <w:t>31 – 90 days</w:t>
            </w:r>
          </w:p>
        </w:tc>
        <w:tc>
          <w:tcPr>
            <w:tcW w:type="dxa" w:w="2484"/>
            <w:shd w:val="clear" w:fill="F6F7F9"/>
          </w:tcPr>
          <w:p>
            <w:pPr>
              <w:spacing w:after="0" w:before="0"/>
              <w:jc w:val="right"/>
            </w:pPr>
            <w:r/>
            <w:r>
              <w:rPr>
                <w:sz w:val="17"/>
              </w:rPr>
              <w:t>11.7</w:t>
            </w:r>
          </w:p>
        </w:tc>
        <w:tc>
          <w:tcPr>
            <w:tcW w:type="dxa" w:w="2484"/>
            <w:shd w:val="clear" w:fill="F6F7F9"/>
          </w:tcPr>
          <w:p>
            <w:pPr>
              <w:spacing w:after="0" w:before="0"/>
              <w:jc w:val="right"/>
            </w:pPr>
            <w:r/>
            <w:r>
              <w:rPr>
                <w:sz w:val="17"/>
              </w:rPr>
            </w:r>
          </w:p>
        </w:tc>
        <w:tc>
          <w:tcPr>
            <w:tcW w:type="dxa" w:w="2484"/>
            <w:shd w:val="clear" w:fill="F6F7F9"/>
          </w:tcPr>
          <w:p>
            <w:pPr>
              <w:spacing w:after="0" w:before="0"/>
              <w:jc w:val="right"/>
            </w:pPr>
            <w:r/>
            <w:r>
              <w:rPr>
                <w:sz w:val="17"/>
              </w:rPr>
            </w:r>
          </w:p>
        </w:tc>
      </w:tr>
    </w:tbl>
    <w:p>
      <w:pPr>
        <w:spacing w:before="80" w:after="60" w:line="269" w:lineRule="auto"/>
        <w:jc w:val="left"/>
      </w:pPr>
      <w:r>
        <w:rPr>
          <w:b w:val="0"/>
          <w:i w:val="0"/>
          <w:color w:val="556A83"/>
          <w:sz w:val="18"/>
        </w:rPr>
        <w:t>The Fund currently holds 17 positions in total, of which the ten largest represent 84.2% of NAV. XX% of the Fund’s assets can be liquidated within 90 days, and the estimated haircut required to liquidate the entire portfolio is XX% under normal market conditions. (XX placeholders unfilled in the source.)</w:t>
      </w:r>
    </w:p>
    <w:p>
      <w:pPr>
        <w:spacing w:after="0" w:before="0"/>
      </w:pPr>
      <w:r>
        <w:br w:type="page"/>
      </w:r>
    </w:p>
    <w:p>
      <w:pPr>
        <w:keepNext/>
        <w:spacing w:before="280" w:after="80"/>
        <w:pBdr>
          <w:bottom w:val="single" w:sz="6" w:space="2" w:color="314359"/>
        </w:pBdr>
      </w:pPr>
      <w:r>
        <w:rPr>
          <w:rFonts w:ascii="Times New Roman" w:hAnsi="Times New Roman"/>
          <w:b/>
          <w:color w:val="152130"/>
          <w:sz w:val="30"/>
        </w:rPr>
        <w:t>Performance and portfolio commentary</w:t>
      </w:r>
    </w:p>
    <w:p>
      <w:pPr>
        <w:spacing w:before="40" w:after="60" w:line="269" w:lineRule="auto"/>
        <w:jc w:val="left"/>
      </w:pPr>
      <w:r>
        <w:rPr>
          <w:b w:val="0"/>
          <w:i w:val="0"/>
          <w:sz w:val="21"/>
        </w:rPr>
        <w:t>Global equity markets weakened during the first quarter of 2026, with leadership shifting away from the large-cap U.S. growth stocks that had dominated the prior year. The S&amp;P 500 declined 4.3% over the quarter, while the Nasdaq 100 fell 5.8%, reflecting pressure on richly valued technology and AI-related growth stocks. In contrast, smaller companies proved more resilient, with the Russell 2000 gaining approximately 0.9% and the equal-weighted S&amp;P 500 rising 0.7%, indicating a meaningful broadening of participation beneath the headline indices despite headline weakness.</w:t>
      </w:r>
    </w:p>
    <w:p>
      <w:pPr>
        <w:spacing w:before="40" w:after="60" w:line="269" w:lineRule="auto"/>
        <w:jc w:val="left"/>
      </w:pPr>
      <w:r>
        <w:rPr>
          <w:b w:val="0"/>
          <w:i w:val="0"/>
          <w:sz w:val="21"/>
        </w:rPr>
        <w:t>At the sector level within the S&amp;P 500, the quarter was marked by a sharp rotation away from high-multiple growth and software stocks. Software companies came under significant pressure as investors grew increasingly concerned that artificial intelligence could disrupt parts of the enterprise software market. Hardware, semiconductors and AI-infrastructure areas were more resilient, supported by continued demand for chips, memory, data-centre equipment and connectivity.</w:t>
      </w:r>
    </w:p>
    <w:p>
      <w:pPr>
        <w:spacing w:before="40" w:after="60" w:line="269" w:lineRule="auto"/>
        <w:jc w:val="left"/>
      </w:pPr>
      <w:r>
        <w:rPr>
          <w:b w:val="0"/>
          <w:i w:val="0"/>
          <w:sz w:val="21"/>
        </w:rPr>
        <w:t>Equity markets outside the U.S. also weakened but generally outperformed U.S. large-cap equities. The MSCI ACWI ex U.S. declined approximately 0.7%, while developed international markets, as measured by MSCI EAFE, fell around 1.2%. Emerging markets were broadly flat to slightly negative, with MSCI Emerging Markets down roughly 0.2%, outperforming the S&amp;P 500 as commodity exposure and parts of Asia helped offset broader risk aversion.</w:t>
      </w:r>
    </w:p>
    <w:p>
      <w:pPr>
        <w:spacing w:before="40" w:after="60" w:line="269" w:lineRule="auto"/>
        <w:jc w:val="left"/>
      </w:pPr>
      <w:r>
        <w:rPr>
          <w:b w:val="0"/>
          <w:i w:val="0"/>
          <w:sz w:val="21"/>
        </w:rPr>
        <w:t>In the Nordic region, performance was mixed. Swedish equities were volatile but ended the quarter modestly higher, with the OMXS30 supported by strong gains in January and February before a sharp decline in March. Danish equities lagged materially, with the OMX Copenhagen 25 falling during February and March after a positive January, reflecting continued pressure from the heavy healthcare weighting. Finnish equities remained relatively resilient, helped by industrial and financial exposure.</w:t>
      </w:r>
    </w:p>
    <w:p>
      <w:pPr>
        <w:spacing w:before="40" w:after="60" w:line="269" w:lineRule="auto"/>
        <w:jc w:val="left"/>
      </w:pPr>
      <w:r>
        <w:rPr>
          <w:b w:val="0"/>
          <w:i w:val="0"/>
          <w:sz w:val="21"/>
        </w:rPr>
        <w:t>Fixed-income markets were broadly flat during the quarter. The Federal Reserve paused its easing cycle and kept the federal funds target range unchanged at 3.50%–3.75% at the March meeting, emphasising that policy was not on a preset course and that future decisions would depend on inflation, labour-market data and broader risks. U.S. Treasury yields rose modestly over the quarter, with the 10-year yield up around 15 basis points, as stronger growth, fiscal concerns and still-elevated inflation limited the benefit from expected future rate cuts.</w:t>
      </w:r>
    </w:p>
    <w:p>
      <w:pPr>
        <w:spacing w:before="40" w:after="60" w:line="269" w:lineRule="auto"/>
        <w:jc w:val="left"/>
      </w:pPr>
      <w:r>
        <w:rPr>
          <w:b w:val="0"/>
          <w:i w:val="0"/>
          <w:sz w:val="21"/>
        </w:rPr>
        <w:t>Norvestor, a Norwegian private equity firm, made a cash offer for Zalaris in mid-March. Norvestor values the company at NOK 100 per share. The shares rose 37% relative to the previous day’s close. We have tendered our shares, as we consider the price to be fair.</w:t>
      </w:r>
    </w:p>
    <w:p>
      <w:pPr>
        <w:spacing w:before="40" w:after="60" w:line="269" w:lineRule="auto"/>
        <w:jc w:val="left"/>
      </w:pPr>
      <w:r>
        <w:rPr>
          <w:b w:val="0"/>
          <w:i w:val="0"/>
          <w:sz w:val="21"/>
        </w:rPr>
        <w:t>Röko’s shares continued to decline in the first quarter of the year but have rebounded after quarter-end as both organic growth and the pace of capital deployment have accelerated.</w:t>
      </w:r>
    </w:p>
    <w:p>
      <w:pPr>
        <w:spacing w:before="40" w:after="60" w:line="269" w:lineRule="auto"/>
        <w:jc w:val="left"/>
      </w:pPr>
      <w:r>
        <w:rPr>
          <w:b w:val="0"/>
          <w:i w:val="0"/>
          <w:sz w:val="21"/>
        </w:rPr>
        <w:t>In general, we find it difficult to identify value in the broader equity markets, and we are holding a meaningful cash position in the portfolio. We are actively looking for investments in markets such as the UK and Japan, where we see greater value.</w:t>
      </w:r>
    </w:p>
    <w:p>
      <w:pPr>
        <w:spacing w:after="0" w:before="0"/>
      </w:pPr>
      <w:r>
        <w:br w:type="page"/>
      </w:r>
    </w:p>
    <w:p>
      <w:pPr>
        <w:keepNext/>
      </w:pPr>
      <w:r>
        <w:rPr>
          <w:rFonts w:ascii="Times New Roman" w:hAnsi="Times New Roman"/>
          <w:b/>
          <w:i w:val="0"/>
          <w:color w:val="152130"/>
          <w:sz w:val="30"/>
        </w:rPr>
        <w:t>Doing what we say — Q1 2026 in practice</w:t>
      </w:r>
    </w:p>
    <w:p>
      <w:r>
        <w:rPr>
          <w:b w:val="0"/>
          <w:i w:val="0"/>
          <w:sz w:val="21"/>
        </w:rPr>
        <w:t>Each standing claim in our investment- and risk-process is mapped below to what we actually did this quarter. The supporting detail sits in the holdings and tables that follow — so our claims can be checked against our actions.</w:t>
      </w:r>
    </w:p>
    <w:p>
      <w:pPr>
        <w:keepNext/>
      </w:pPr>
      <w:r>
        <w:rPr>
          <w:rFonts w:ascii="Times New Roman" w:hAnsi="Times New Roman"/>
          <w:b/>
          <w:i w:val="0"/>
          <w:color w:val="152130"/>
          <w:sz w:val="24"/>
        </w:rPr>
        <w:t>Investment process</w:t>
      </w:r>
    </w:p>
    <w:tbl>
      <w:tblPr>
        <w:tblStyle w:val="TableGrid"/>
        <w:tblW w:type="auto" w:w="0"/>
        <w:tblLayout w:type="fixed"/>
        <w:tblLook w:firstColumn="1" w:firstRow="1" w:lastColumn="0" w:lastRow="0" w:noHBand="0" w:noVBand="1" w:val="04A0"/>
        <w:tblLayout w:type="fixed"/>
        <w:tblW w:type="dxa" w:w="9792"/>
      </w:tblPr>
      <w:tblGrid>
        <w:gridCol w:w="3312"/>
        <w:gridCol w:w="6480"/>
      </w:tblGrid>
      <w:tr>
        <w:trPr>
          <w:cantSplit/>
          <w:tblHeader/>
        </w:trPr>
        <w:tc>
          <w:tcPr>
            <w:tcW w:type="dxa" w:w="3312"/>
          </w:tcPr>
          <w:p>
            <w:pPr>
              <w:spacing w:after="40"/>
            </w:pPr>
            <w:r>
              <w:rPr>
                <w:b/>
                <w:i w:val="0"/>
                <w:color w:val="314359"/>
                <w:sz w:val="18"/>
              </w:rPr>
              <w:t>What we say (standing claim)</w:t>
            </w:r>
          </w:p>
        </w:tc>
        <w:tc>
          <w:tcPr>
            <w:tcW w:type="dxa" w:w="6480"/>
          </w:tcPr>
          <w:p>
            <w:pPr>
              <w:spacing w:after="40"/>
            </w:pPr>
            <w:r>
              <w:rPr>
                <w:b/>
                <w:i w:val="0"/>
                <w:color w:val="314359"/>
                <w:sz w:val="18"/>
              </w:rPr>
              <w:t>What we did (Q1 2026)</w:t>
            </w:r>
          </w:p>
        </w:tc>
      </w:tr>
      <w:tr>
        <w:trPr>
          <w:cantSplit/>
        </w:trPr>
        <w:tc>
          <w:tcPr>
            <w:tcW w:type="dxa" w:w="3312"/>
          </w:tcPr>
          <w:p>
            <w:pPr>
              <w:spacing w:after="40"/>
            </w:pPr>
            <w:r>
              <w:rPr>
                <w:b/>
                <w:i w:val="0"/>
                <w:color w:val="152130"/>
                <w:sz w:val="20"/>
              </w:rPr>
              <w:t>Selective; we won’t force deployment.</w:t>
            </w:r>
          </w:p>
        </w:tc>
        <w:tc>
          <w:tcPr>
            <w:tcW w:type="dxa" w:w="6480"/>
          </w:tcPr>
          <w:p>
            <w:pPr>
              <w:spacing w:after="40"/>
            </w:pPr>
            <w:r>
              <w:rPr>
                <w:b w:val="0"/>
                <w:i w:val="0"/>
                <w:sz w:val="19"/>
              </w:rPr>
              <w:t>Held ~6.9% cash and flagged difficulty finding value; we are sourcing in the UK and Japan rather than chase an expensive market.</w:t>
            </w:r>
          </w:p>
        </w:tc>
      </w:tr>
      <w:tr>
        <w:trPr>
          <w:cantSplit/>
        </w:trPr>
        <w:tc>
          <w:tcPr>
            <w:tcW w:type="dxa" w:w="3312"/>
          </w:tcPr>
          <w:p>
            <w:pPr>
              <w:spacing w:after="40"/>
            </w:pPr>
            <w:r>
              <w:rPr>
                <w:b/>
                <w:i w:val="0"/>
                <w:color w:val="152130"/>
                <w:sz w:val="20"/>
              </w:rPr>
              <w:t>Buy quality at a discount.</w:t>
            </w:r>
          </w:p>
        </w:tc>
        <w:tc>
          <w:tcPr>
            <w:tcW w:type="dxa" w:w="6480"/>
          </w:tcPr>
          <w:p>
            <w:pPr>
              <w:spacing w:after="40"/>
            </w:pPr>
            <w:r>
              <w:rPr>
                <w:b w:val="0"/>
                <w:i w:val="0"/>
                <w:sz w:val="19"/>
              </w:rPr>
              <w:t>Core holdings are dominant franchises bought on value — Auto Trader (~10× its nearest rival), Rightmove (~80% of portal time), Somero (~80% global share) at a cyclical low, TBK on ~2× normalised earnings.</w:t>
            </w:r>
          </w:p>
        </w:tc>
      </w:tr>
      <w:tr>
        <w:trPr>
          <w:cantSplit/>
        </w:trPr>
        <w:tc>
          <w:tcPr>
            <w:tcW w:type="dxa" w:w="3312"/>
          </w:tcPr>
          <w:p>
            <w:pPr>
              <w:spacing w:after="40"/>
            </w:pPr>
            <w:r>
              <w:rPr>
                <w:b/>
                <w:i w:val="0"/>
                <w:color w:val="152130"/>
                <w:sz w:val="20"/>
              </w:rPr>
              <w:t>Agreement before capital; determined, not forced, sellers.</w:t>
            </w:r>
          </w:p>
        </w:tc>
        <w:tc>
          <w:tcPr>
            <w:tcW w:type="dxa" w:w="6480"/>
          </w:tcPr>
          <w:p>
            <w:pPr>
              <w:spacing w:after="40"/>
            </w:pPr>
            <w:r>
              <w:rPr>
                <w:b w:val="0"/>
                <w:i w:val="0"/>
                <w:sz w:val="19"/>
              </w:rPr>
              <w:t>Tendered Zalaris into Norvestor’s NOK 100 cash offer (+37% on the day) — sold on a fair-value trigger, on the facts, not sentiment.</w:t>
            </w:r>
          </w:p>
        </w:tc>
      </w:tr>
      <w:tr>
        <w:trPr>
          <w:cantSplit/>
        </w:trPr>
        <w:tc>
          <w:tcPr>
            <w:tcW w:type="dxa" w:w="3312"/>
          </w:tcPr>
          <w:p>
            <w:pPr>
              <w:spacing w:after="40"/>
            </w:pPr>
            <w:r>
              <w:rPr>
                <w:b/>
                <w:i w:val="0"/>
                <w:color w:val="152130"/>
                <w:sz w:val="20"/>
              </w:rPr>
              <w:t>We create the value from the boardroom.</w:t>
            </w:r>
          </w:p>
        </w:tc>
        <w:tc>
          <w:tcPr>
            <w:tcW w:type="dxa" w:w="6480"/>
          </w:tcPr>
          <w:p>
            <w:pPr>
              <w:spacing w:after="40"/>
            </w:pPr>
            <w:r>
              <w:rPr>
                <w:b w:val="0"/>
                <w:i w:val="0"/>
                <w:sz w:val="19"/>
              </w:rPr>
              <w:t>Athanase Innovation: progressing a tax-free Lex Asea spin-off to unlock value, having realised ~NOK 143m of cash from the Zalaris exit. TBK: pursuing the operational plan to lift margins toward 10%.</w:t>
            </w:r>
          </w:p>
        </w:tc>
      </w:tr>
      <w:tr>
        <w:trPr>
          <w:cantSplit/>
        </w:trPr>
        <w:tc>
          <w:tcPr>
            <w:tcW w:type="dxa" w:w="3312"/>
          </w:tcPr>
          <w:p>
            <w:pPr>
              <w:spacing w:after="40"/>
            </w:pPr>
            <w:r>
              <w:rPr>
                <w:b/>
                <w:i w:val="0"/>
                <w:color w:val="152130"/>
                <w:sz w:val="20"/>
              </w:rPr>
              <w:t>Returns from earnings, not re-rating.</w:t>
            </w:r>
          </w:p>
        </w:tc>
        <w:tc>
          <w:tcPr>
            <w:tcW w:type="dxa" w:w="6480"/>
          </w:tcPr>
          <w:p>
            <w:pPr>
              <w:spacing w:after="40"/>
            </w:pPr>
            <w:r>
              <w:rPr>
                <w:b w:val="0"/>
                <w:i w:val="0"/>
                <w:sz w:val="19"/>
              </w:rPr>
              <w:t>Operating profit grew across the book — Röko EBITA +5% (SEK 415m), Tempest operating result up (sales +11%), TBK EBIT JPY 1.50bn (from 0.94bn).</w:t>
            </w:r>
          </w:p>
        </w:tc>
      </w:tr>
      <w:tr>
        <w:trPr>
          <w:cantSplit/>
        </w:trPr>
        <w:tc>
          <w:tcPr>
            <w:tcW w:type="dxa" w:w="3312"/>
          </w:tcPr>
          <w:p>
            <w:pPr>
              <w:spacing w:after="40"/>
            </w:pPr>
            <w:r>
              <w:rPr>
                <w:b/>
                <w:i w:val="0"/>
                <w:color w:val="152130"/>
                <w:sz w:val="20"/>
              </w:rPr>
              <w:t>Low cadence, high conviction.</w:t>
            </w:r>
          </w:p>
        </w:tc>
        <w:tc>
          <w:tcPr>
            <w:tcW w:type="dxa" w:w="6480"/>
          </w:tcPr>
          <w:p>
            <w:pPr>
              <w:spacing w:after="40"/>
            </w:pPr>
            <w:r>
              <w:rPr>
                <w:b w:val="0"/>
                <w:i w:val="0"/>
                <w:sz w:val="19"/>
              </w:rPr>
              <w:t>17 positions, the ten largest ~84% of NAV; no new platform forced in a quarter we judged expensive.</w:t>
            </w:r>
          </w:p>
        </w:tc>
      </w:tr>
    </w:tbl>
    <w:p>
      <w:pPr>
        <w:keepNext/>
      </w:pPr>
      <w:r>
        <w:rPr>
          <w:rFonts w:ascii="Times New Roman" w:hAnsi="Times New Roman"/>
          <w:b/>
          <w:i w:val="0"/>
          <w:color w:val="152130"/>
          <w:sz w:val="24"/>
        </w:rPr>
        <w:t>Risk process</w:t>
      </w:r>
    </w:p>
    <w:tbl>
      <w:tblPr>
        <w:tblStyle w:val="TableGrid"/>
        <w:tblW w:type="auto" w:w="0"/>
        <w:tblLayout w:type="fixed"/>
        <w:tblLook w:firstColumn="1" w:firstRow="1" w:lastColumn="0" w:lastRow="0" w:noHBand="0" w:noVBand="1" w:val="04A0"/>
        <w:tblLayout w:type="fixed"/>
        <w:tblW w:type="dxa" w:w="9792"/>
      </w:tblPr>
      <w:tblGrid>
        <w:gridCol w:w="3312"/>
        <w:gridCol w:w="6480"/>
      </w:tblGrid>
      <w:tr>
        <w:trPr>
          <w:cantSplit/>
          <w:tblHeader/>
        </w:trPr>
        <w:tc>
          <w:tcPr>
            <w:tcW w:type="dxa" w:w="3312"/>
          </w:tcPr>
          <w:p>
            <w:pPr>
              <w:spacing w:after="40"/>
            </w:pPr>
            <w:r>
              <w:rPr>
                <w:b/>
                <w:i w:val="0"/>
                <w:color w:val="314359"/>
                <w:sz w:val="18"/>
              </w:rPr>
              <w:t>What we say (standing claim)</w:t>
            </w:r>
          </w:p>
        </w:tc>
        <w:tc>
          <w:tcPr>
            <w:tcW w:type="dxa" w:w="6480"/>
          </w:tcPr>
          <w:p>
            <w:pPr>
              <w:spacing w:after="40"/>
            </w:pPr>
            <w:r>
              <w:rPr>
                <w:b/>
                <w:i w:val="0"/>
                <w:color w:val="314359"/>
                <w:sz w:val="18"/>
              </w:rPr>
              <w:t>What we did (Q1 2026)</w:t>
            </w:r>
          </w:p>
        </w:tc>
      </w:tr>
      <w:tr>
        <w:trPr>
          <w:cantSplit/>
        </w:trPr>
        <w:tc>
          <w:tcPr>
            <w:tcW w:type="dxa" w:w="3312"/>
          </w:tcPr>
          <w:p>
            <w:pPr>
              <w:spacing w:after="40"/>
            </w:pPr>
            <w:r>
              <w:rPr>
                <w:b/>
                <w:i w:val="0"/>
                <w:color w:val="152130"/>
                <w:sz w:val="20"/>
              </w:rPr>
              <w:t>No leverage at the fund.</w:t>
            </w:r>
          </w:p>
        </w:tc>
        <w:tc>
          <w:tcPr>
            <w:tcW w:type="dxa" w:w="6480"/>
          </w:tcPr>
          <w:p>
            <w:pPr>
              <w:spacing w:after="40"/>
            </w:pPr>
            <w:r>
              <w:rPr>
                <w:b w:val="0"/>
                <w:i w:val="0"/>
                <w:sz w:val="19"/>
              </w:rPr>
              <w:t>Gross exposure 85.3% = net exposure 85.3% — zero fund-level leverage, with ~6.9% cash.</w:t>
            </w:r>
          </w:p>
        </w:tc>
      </w:tr>
      <w:tr>
        <w:trPr>
          <w:cantSplit/>
        </w:trPr>
        <w:tc>
          <w:tcPr>
            <w:tcW w:type="dxa" w:w="3312"/>
          </w:tcPr>
          <w:p>
            <w:pPr>
              <w:spacing w:after="40"/>
            </w:pPr>
            <w:r>
              <w:rPr>
                <w:b/>
                <w:i w:val="0"/>
                <w:color w:val="152130"/>
                <w:sz w:val="20"/>
              </w:rPr>
              <w:t>Sized and measured so no mark dominates.</w:t>
            </w:r>
          </w:p>
        </w:tc>
        <w:tc>
          <w:tcPr>
            <w:tcW w:type="dxa" w:w="6480"/>
          </w:tcPr>
          <w:p>
            <w:pPr>
              <w:spacing w:after="40"/>
            </w:pPr>
            <w:r>
              <w:rPr>
                <w:b w:val="0"/>
                <w:i w:val="0"/>
                <w:sz w:val="19"/>
              </w:rPr>
              <w:t>17 positions; downside risk 8.7%, 1-day 95% VaR 1.5%; a full liquidity profile disclosed (22.5% of NAV within one day).</w:t>
            </w:r>
          </w:p>
        </w:tc>
      </w:tr>
      <w:tr>
        <w:trPr>
          <w:cantSplit/>
        </w:trPr>
        <w:tc>
          <w:tcPr>
            <w:tcW w:type="dxa" w:w="3312"/>
          </w:tcPr>
          <w:p>
            <w:pPr>
              <w:spacing w:after="40"/>
            </w:pPr>
            <w:r>
              <w:rPr>
                <w:b/>
                <w:i w:val="0"/>
                <w:color w:val="152130"/>
                <w:sz w:val="20"/>
              </w:rPr>
              <w:t>Diversification across exposures.</w:t>
            </w:r>
          </w:p>
        </w:tc>
        <w:tc>
          <w:tcPr>
            <w:tcW w:type="dxa" w:w="6480"/>
          </w:tcPr>
          <w:p>
            <w:pPr>
              <w:spacing w:after="40"/>
            </w:pPr>
            <w:r>
              <w:rPr>
                <w:b w:val="0"/>
                <w:i w:val="0"/>
                <w:sz w:val="19"/>
              </w:rPr>
              <w:t>Spread across Nordic, UK and Japanese listings and across software, industrials, gaming, media and resources.</w:t>
            </w:r>
          </w:p>
        </w:tc>
      </w:tr>
      <w:tr>
        <w:trPr>
          <w:cantSplit/>
        </w:trPr>
        <w:tc>
          <w:tcPr>
            <w:tcW w:type="dxa" w:w="3312"/>
          </w:tcPr>
          <w:p>
            <w:pPr>
              <w:spacing w:after="40"/>
            </w:pPr>
            <w:r>
              <w:rPr>
                <w:b/>
                <w:i w:val="0"/>
                <w:color w:val="152130"/>
                <w:sz w:val="20"/>
              </w:rPr>
              <w:t>Mechanised discipline, not emotion.</w:t>
            </w:r>
          </w:p>
        </w:tc>
        <w:tc>
          <w:tcPr>
            <w:tcW w:type="dxa" w:w="6480"/>
          </w:tcPr>
          <w:p>
            <w:pPr>
              <w:spacing w:after="40"/>
            </w:pPr>
            <w:r>
              <w:rPr>
                <w:b w:val="0"/>
                <w:i w:val="0"/>
                <w:sz w:val="19"/>
              </w:rPr>
              <w:t>Acted on the Zalaris fair-value trigger; held cash rather than relax the valuation bar in a market we find expensive.</w:t>
            </w:r>
          </w:p>
        </w:tc>
      </w:tr>
      <w:tr>
        <w:trPr>
          <w:cantSplit/>
        </w:trPr>
        <w:tc>
          <w:tcPr>
            <w:tcW w:type="dxa" w:w="3312"/>
          </w:tcPr>
          <w:p>
            <w:pPr>
              <w:spacing w:after="40"/>
            </w:pPr>
            <w:r>
              <w:rPr>
                <w:b/>
                <w:i w:val="0"/>
                <w:color w:val="152130"/>
                <w:sz w:val="20"/>
              </w:rPr>
              <w:t>Quality cores; avoid permanent loss.</w:t>
            </w:r>
          </w:p>
        </w:tc>
        <w:tc>
          <w:tcPr>
            <w:tcW w:type="dxa" w:w="6480"/>
          </w:tcPr>
          <w:p>
            <w:pPr>
              <w:spacing w:after="40"/>
            </w:pPr>
            <w:r>
              <w:rPr>
                <w:b w:val="0"/>
                <w:i w:val="0"/>
                <w:sz w:val="19"/>
              </w:rPr>
              <w:t>Concentrated in durable market leaders; speculative exposure is limited and disclosed (e.g. NGEx held as exploration optionality).</w:t>
            </w:r>
          </w:p>
        </w:tc>
      </w:tr>
      <w:tr>
        <w:trPr>
          <w:cantSplit/>
        </w:trPr>
        <w:tc>
          <w:tcPr>
            <w:tcW w:type="dxa" w:w="3312"/>
          </w:tcPr>
          <w:p>
            <w:pPr>
              <w:spacing w:after="40"/>
            </w:pPr>
            <w:r>
              <w:rPr>
                <w:b/>
                <w:i w:val="0"/>
                <w:color w:val="152130"/>
                <w:sz w:val="20"/>
              </w:rPr>
              <w:t>Independent checks and full disclosure.</w:t>
            </w:r>
          </w:p>
        </w:tc>
        <w:tc>
          <w:tcPr>
            <w:tcW w:type="dxa" w:w="6480"/>
          </w:tcPr>
          <w:p>
            <w:pPr>
              <w:spacing w:after="40"/>
            </w:pPr>
            <w:r>
              <w:rPr>
                <w:b w:val="0"/>
                <w:i w:val="0"/>
                <w:sz w:val="19"/>
              </w:rPr>
              <w:t>Performance sourced from StatPro; figures reconciled, with open items (liquidity placeholders, unit flags) listed explicitly for verification.</w:t>
            </w:r>
          </w:p>
        </w:tc>
      </w:tr>
    </w:tbl>
    <w:p>
      <w:r>
        <w:rPr>
          <w:b w:val="0"/>
          <w:i/>
          <w:color w:val="314359"/>
          <w:sz w:val="17"/>
        </w:rPr>
        <w:t>Standing claims are drawn from our process and risk attestation; the actions above are evidenced in the holdings and tables of this report.</w:t>
      </w:r>
    </w:p>
    <w:p>
      <w:pPr>
        <w:keepNext/>
        <w:pageBreakBefore/>
        <w:spacing w:before="240" w:after="80"/>
      </w:pPr>
      <w:r>
        <w:rPr>
          <w:rFonts w:ascii="Times New Roman" w:hAnsi="Times New Roman"/>
          <w:b/>
          <w:color w:val="152130"/>
          <w:sz w:val="28"/>
        </w:rPr>
        <w:t>Monthly returns (%)</w:t>
      </w:r>
    </w:p>
    <w:tbl>
      <w:tblPr>
        <w:tblStyle w:val="TableGrid"/>
        <w:tblW w:type="auto" w:w="0"/>
        <w:jc w:val="left"/>
        <w:tblLook w:firstColumn="1" w:firstRow="1" w:lastColumn="0" w:lastRow="0" w:noHBand="0" w:noVBand="1" w:val="04A0"/>
      </w:tblPr>
      <w:tblGrid>
        <w:gridCol w:w="662"/>
        <w:gridCol w:w="662"/>
        <w:gridCol w:w="662"/>
        <w:gridCol w:w="662"/>
        <w:gridCol w:w="662"/>
        <w:gridCol w:w="662"/>
        <w:gridCol w:w="662"/>
        <w:gridCol w:w="662"/>
        <w:gridCol w:w="662"/>
        <w:gridCol w:w="662"/>
        <w:gridCol w:w="662"/>
        <w:gridCol w:w="662"/>
        <w:gridCol w:w="662"/>
        <w:gridCol w:w="662"/>
        <w:gridCol w:w="662"/>
      </w:tblGrid>
      <w:tr>
        <w:trPr>
          <w:cantSplit/>
        </w:trPr>
        <w:tc>
          <w:tcPr>
            <w:tcW w:type="dxa" w:w="662"/>
            <w:shd w:val="clear" w:fill="152130"/>
          </w:tcPr>
          <w:p>
            <w:pPr>
              <w:spacing w:after="0" w:before="0"/>
            </w:pPr>
            <w:r/>
            <w:r>
              <w:rPr>
                <w:b/>
                <w:color w:val="FFFFFF"/>
                <w:sz w:val="14"/>
              </w:rPr>
              <w:t>Year</w:t>
            </w:r>
          </w:p>
        </w:tc>
        <w:tc>
          <w:tcPr>
            <w:tcW w:type="dxa" w:w="662"/>
            <w:shd w:val="clear" w:fill="152130"/>
          </w:tcPr>
          <w:p>
            <w:pPr>
              <w:spacing w:after="0" w:before="0"/>
            </w:pPr>
            <w:r/>
            <w:r>
              <w:rPr>
                <w:b/>
                <w:color w:val="FFFFFF"/>
                <w:sz w:val="14"/>
              </w:rPr>
              <w:t>Jan</w:t>
            </w:r>
          </w:p>
        </w:tc>
        <w:tc>
          <w:tcPr>
            <w:tcW w:type="dxa" w:w="662"/>
            <w:shd w:val="clear" w:fill="152130"/>
          </w:tcPr>
          <w:p>
            <w:pPr>
              <w:spacing w:after="0" w:before="0"/>
            </w:pPr>
            <w:r/>
            <w:r>
              <w:rPr>
                <w:b/>
                <w:color w:val="FFFFFF"/>
                <w:sz w:val="14"/>
              </w:rPr>
              <w:t>Feb</w:t>
            </w:r>
          </w:p>
        </w:tc>
        <w:tc>
          <w:tcPr>
            <w:tcW w:type="dxa" w:w="662"/>
            <w:shd w:val="clear" w:fill="152130"/>
          </w:tcPr>
          <w:p>
            <w:pPr>
              <w:spacing w:after="0" w:before="0"/>
            </w:pPr>
            <w:r/>
            <w:r>
              <w:rPr>
                <w:b/>
                <w:color w:val="FFFFFF"/>
                <w:sz w:val="14"/>
              </w:rPr>
              <w:t>Mar</w:t>
            </w:r>
          </w:p>
        </w:tc>
        <w:tc>
          <w:tcPr>
            <w:tcW w:type="dxa" w:w="662"/>
            <w:shd w:val="clear" w:fill="152130"/>
          </w:tcPr>
          <w:p>
            <w:pPr>
              <w:spacing w:after="0" w:before="0"/>
            </w:pPr>
            <w:r/>
            <w:r>
              <w:rPr>
                <w:b/>
                <w:color w:val="FFFFFF"/>
                <w:sz w:val="14"/>
              </w:rPr>
              <w:t>Apr</w:t>
            </w:r>
          </w:p>
        </w:tc>
        <w:tc>
          <w:tcPr>
            <w:tcW w:type="dxa" w:w="662"/>
            <w:shd w:val="clear" w:fill="152130"/>
          </w:tcPr>
          <w:p>
            <w:pPr>
              <w:spacing w:after="0" w:before="0"/>
            </w:pPr>
            <w:r/>
            <w:r>
              <w:rPr>
                <w:b/>
                <w:color w:val="FFFFFF"/>
                <w:sz w:val="14"/>
              </w:rPr>
              <w:t>May</w:t>
            </w:r>
          </w:p>
        </w:tc>
        <w:tc>
          <w:tcPr>
            <w:tcW w:type="dxa" w:w="662"/>
            <w:shd w:val="clear" w:fill="152130"/>
          </w:tcPr>
          <w:p>
            <w:pPr>
              <w:spacing w:after="0" w:before="0"/>
            </w:pPr>
            <w:r/>
            <w:r>
              <w:rPr>
                <w:b/>
                <w:color w:val="FFFFFF"/>
                <w:sz w:val="14"/>
              </w:rPr>
              <w:t>Jun</w:t>
            </w:r>
          </w:p>
        </w:tc>
        <w:tc>
          <w:tcPr>
            <w:tcW w:type="dxa" w:w="662"/>
            <w:shd w:val="clear" w:fill="152130"/>
          </w:tcPr>
          <w:p>
            <w:pPr>
              <w:spacing w:after="0" w:before="0"/>
            </w:pPr>
            <w:r/>
            <w:r>
              <w:rPr>
                <w:b/>
                <w:color w:val="FFFFFF"/>
                <w:sz w:val="14"/>
              </w:rPr>
              <w:t>Jul</w:t>
            </w:r>
          </w:p>
        </w:tc>
        <w:tc>
          <w:tcPr>
            <w:tcW w:type="dxa" w:w="662"/>
            <w:shd w:val="clear" w:fill="152130"/>
          </w:tcPr>
          <w:p>
            <w:pPr>
              <w:spacing w:after="0" w:before="0"/>
            </w:pPr>
            <w:r/>
            <w:r>
              <w:rPr>
                <w:b/>
                <w:color w:val="FFFFFF"/>
                <w:sz w:val="14"/>
              </w:rPr>
              <w:t>Aug</w:t>
            </w:r>
          </w:p>
        </w:tc>
        <w:tc>
          <w:tcPr>
            <w:tcW w:type="dxa" w:w="662"/>
            <w:shd w:val="clear" w:fill="152130"/>
          </w:tcPr>
          <w:p>
            <w:pPr>
              <w:spacing w:after="0" w:before="0"/>
            </w:pPr>
            <w:r/>
            <w:r>
              <w:rPr>
                <w:b/>
                <w:color w:val="FFFFFF"/>
                <w:sz w:val="14"/>
              </w:rPr>
              <w:t>Sep</w:t>
            </w:r>
          </w:p>
        </w:tc>
        <w:tc>
          <w:tcPr>
            <w:tcW w:type="dxa" w:w="662"/>
            <w:shd w:val="clear" w:fill="152130"/>
          </w:tcPr>
          <w:p>
            <w:pPr>
              <w:spacing w:after="0" w:before="0"/>
            </w:pPr>
            <w:r/>
            <w:r>
              <w:rPr>
                <w:b/>
                <w:color w:val="FFFFFF"/>
                <w:sz w:val="14"/>
              </w:rPr>
              <w:t>Oct</w:t>
            </w:r>
          </w:p>
        </w:tc>
        <w:tc>
          <w:tcPr>
            <w:tcW w:type="dxa" w:w="662"/>
            <w:shd w:val="clear" w:fill="152130"/>
          </w:tcPr>
          <w:p>
            <w:pPr>
              <w:spacing w:after="0" w:before="0"/>
            </w:pPr>
            <w:r/>
            <w:r>
              <w:rPr>
                <w:b/>
                <w:color w:val="FFFFFF"/>
                <w:sz w:val="14"/>
              </w:rPr>
              <w:t>Nov</w:t>
            </w:r>
          </w:p>
        </w:tc>
        <w:tc>
          <w:tcPr>
            <w:tcW w:type="dxa" w:w="662"/>
            <w:shd w:val="clear" w:fill="152130"/>
          </w:tcPr>
          <w:p>
            <w:pPr>
              <w:spacing w:after="0" w:before="0"/>
            </w:pPr>
            <w:r/>
            <w:r>
              <w:rPr>
                <w:b/>
                <w:color w:val="FFFFFF"/>
                <w:sz w:val="14"/>
              </w:rPr>
              <w:t>Dec</w:t>
            </w:r>
          </w:p>
        </w:tc>
        <w:tc>
          <w:tcPr>
            <w:tcW w:type="dxa" w:w="662"/>
            <w:shd w:val="clear" w:fill="152130"/>
          </w:tcPr>
          <w:p>
            <w:pPr>
              <w:spacing w:after="0" w:before="0"/>
            </w:pPr>
            <w:r/>
            <w:r>
              <w:rPr>
                <w:b/>
                <w:color w:val="FFFFFF"/>
                <w:sz w:val="14"/>
              </w:rPr>
              <w:t>YTD</w:t>
            </w:r>
          </w:p>
        </w:tc>
        <w:tc>
          <w:tcPr>
            <w:tcW w:type="dxa" w:w="662"/>
            <w:shd w:val="clear" w:fill="152130"/>
          </w:tcPr>
          <w:p>
            <w:pPr>
              <w:spacing w:after="0" w:before="0"/>
            </w:pPr>
            <w:r/>
            <w:r>
              <w:rPr>
                <w:b/>
                <w:color w:val="FFFFFF"/>
                <w:sz w:val="14"/>
              </w:rPr>
              <w:t>MSCI</w:t>
            </w:r>
          </w:p>
        </w:tc>
      </w:tr>
      <w:tr>
        <w:trPr>
          <w:cantSplit/>
        </w:trPr>
        <w:tc>
          <w:tcPr>
            <w:tcW w:type="dxa" w:w="662"/>
          </w:tcPr>
          <w:p>
            <w:pPr>
              <w:spacing w:after="0" w:before="0"/>
            </w:pPr>
            <w:r/>
            <w:r>
              <w:rPr>
                <w:b/>
                <w:sz w:val="14"/>
              </w:rPr>
              <w:t>2006</w:t>
            </w:r>
          </w:p>
        </w:tc>
        <w:tc>
          <w:tcPr>
            <w:tcW w:type="dxa" w:w="662"/>
          </w:tcPr>
          <w:p>
            <w:pPr>
              <w:spacing w:after="0" w:before="0"/>
              <w:jc w:val="right"/>
            </w:pPr>
            <w:r/>
            <w:r>
              <w:rPr>
                <w:sz w:val="14"/>
              </w:rPr>
              <w:t>5.8</w:t>
            </w:r>
          </w:p>
        </w:tc>
        <w:tc>
          <w:tcPr>
            <w:tcW w:type="dxa" w:w="662"/>
          </w:tcPr>
          <w:p>
            <w:pPr>
              <w:spacing w:after="0" w:before="0"/>
              <w:jc w:val="right"/>
            </w:pPr>
            <w:r/>
            <w:r>
              <w:rPr>
                <w:sz w:val="14"/>
              </w:rPr>
              <w:t>4.5</w:t>
            </w:r>
          </w:p>
        </w:tc>
        <w:tc>
          <w:tcPr>
            <w:tcW w:type="dxa" w:w="662"/>
          </w:tcPr>
          <w:p>
            <w:pPr>
              <w:spacing w:after="0" w:before="0"/>
              <w:jc w:val="right"/>
            </w:pPr>
            <w:r/>
            <w:r>
              <w:rPr>
                <w:sz w:val="14"/>
              </w:rPr>
              <w:t>0.9</w:t>
            </w:r>
          </w:p>
        </w:tc>
        <w:tc>
          <w:tcPr>
            <w:tcW w:type="dxa" w:w="662"/>
          </w:tcPr>
          <w:p>
            <w:pPr>
              <w:spacing w:after="0" w:before="0"/>
              <w:jc w:val="right"/>
            </w:pPr>
            <w:r/>
            <w:r>
              <w:rPr>
                <w:sz w:val="14"/>
              </w:rPr>
              <w:t>6.0</w:t>
            </w:r>
          </w:p>
        </w:tc>
        <w:tc>
          <w:tcPr>
            <w:tcW w:type="dxa" w:w="662"/>
          </w:tcPr>
          <w:p>
            <w:pPr>
              <w:spacing w:after="0" w:before="0"/>
              <w:jc w:val="right"/>
            </w:pPr>
            <w:r/>
            <w:r>
              <w:rPr>
                <w:sz w:val="14"/>
              </w:rPr>
              <w:t>2.2</w:t>
            </w:r>
          </w:p>
        </w:tc>
        <w:tc>
          <w:tcPr>
            <w:tcW w:type="dxa" w:w="662"/>
          </w:tcPr>
          <w:p>
            <w:pPr>
              <w:spacing w:after="0" w:before="0"/>
              <w:jc w:val="right"/>
            </w:pPr>
            <w:r/>
            <w:r>
              <w:rPr>
                <w:sz w:val="14"/>
              </w:rPr>
              <w:t>(5.6)</w:t>
            </w:r>
          </w:p>
        </w:tc>
        <w:tc>
          <w:tcPr>
            <w:tcW w:type="dxa" w:w="662"/>
          </w:tcPr>
          <w:p>
            <w:pPr>
              <w:spacing w:after="0" w:before="0"/>
              <w:jc w:val="right"/>
            </w:pPr>
            <w:r/>
            <w:r>
              <w:rPr>
                <w:sz w:val="14"/>
              </w:rPr>
              <w:t>2.3</w:t>
            </w:r>
          </w:p>
        </w:tc>
        <w:tc>
          <w:tcPr>
            <w:tcW w:type="dxa" w:w="662"/>
          </w:tcPr>
          <w:p>
            <w:pPr>
              <w:spacing w:after="0" w:before="0"/>
              <w:jc w:val="right"/>
            </w:pPr>
            <w:r/>
            <w:r>
              <w:rPr>
                <w:sz w:val="14"/>
              </w:rPr>
              <w:t>5.4</w:t>
            </w:r>
          </w:p>
        </w:tc>
        <w:tc>
          <w:tcPr>
            <w:tcW w:type="dxa" w:w="662"/>
          </w:tcPr>
          <w:p>
            <w:pPr>
              <w:spacing w:after="0" w:before="0"/>
              <w:jc w:val="right"/>
            </w:pPr>
            <w:r/>
            <w:r>
              <w:rPr>
                <w:sz w:val="14"/>
              </w:rPr>
              <w:t>9.3</w:t>
            </w:r>
          </w:p>
        </w:tc>
        <w:tc>
          <w:tcPr>
            <w:tcW w:type="dxa" w:w="662"/>
          </w:tcPr>
          <w:p>
            <w:pPr>
              <w:spacing w:after="0" w:before="0"/>
              <w:jc w:val="right"/>
            </w:pPr>
            <w:r/>
            <w:r>
              <w:rPr>
                <w:sz w:val="14"/>
              </w:rPr>
              <w:t>8.5</w:t>
            </w:r>
          </w:p>
        </w:tc>
        <w:tc>
          <w:tcPr>
            <w:tcW w:type="dxa" w:w="662"/>
          </w:tcPr>
          <w:p>
            <w:pPr>
              <w:spacing w:after="0" w:before="0"/>
              <w:jc w:val="right"/>
            </w:pPr>
            <w:r/>
            <w:r>
              <w:rPr>
                <w:sz w:val="14"/>
              </w:rPr>
              <w:t>11.1</w:t>
            </w:r>
          </w:p>
        </w:tc>
        <w:tc>
          <w:tcPr>
            <w:tcW w:type="dxa" w:w="662"/>
          </w:tcPr>
          <w:p>
            <w:pPr>
              <w:spacing w:after="0" w:before="0"/>
              <w:jc w:val="right"/>
            </w:pPr>
            <w:r/>
            <w:r>
              <w:rPr>
                <w:sz w:val="14"/>
              </w:rPr>
              <w:t>0.3</w:t>
            </w:r>
          </w:p>
        </w:tc>
        <w:tc>
          <w:tcPr>
            <w:tcW w:type="dxa" w:w="662"/>
          </w:tcPr>
          <w:p>
            <w:pPr>
              <w:spacing w:after="0" w:before="0"/>
              <w:jc w:val="right"/>
            </w:pPr>
            <w:r/>
            <w:r>
              <w:rPr>
                <w:sz w:val="14"/>
              </w:rPr>
              <w:t>62.5</w:t>
            </w:r>
          </w:p>
        </w:tc>
        <w:tc>
          <w:tcPr>
            <w:tcW w:type="dxa" w:w="662"/>
          </w:tcPr>
          <w:p>
            <w:pPr>
              <w:spacing w:after="0" w:before="0"/>
              <w:jc w:val="right"/>
            </w:pPr>
            <w:r/>
            <w:r>
              <w:rPr>
                <w:sz w:val="14"/>
              </w:rPr>
              <w:t>18.9</w:t>
            </w:r>
          </w:p>
        </w:tc>
      </w:tr>
      <w:tr>
        <w:trPr>
          <w:cantSplit/>
        </w:trPr>
        <w:tc>
          <w:tcPr>
            <w:tcW w:type="dxa" w:w="662"/>
            <w:shd w:val="clear" w:fill="F6F7F9"/>
          </w:tcPr>
          <w:p>
            <w:pPr>
              <w:spacing w:after="0" w:before="0"/>
            </w:pPr>
            <w:r/>
            <w:r>
              <w:rPr>
                <w:b/>
                <w:sz w:val="14"/>
              </w:rPr>
              <w:t>2007</w:t>
            </w:r>
          </w:p>
        </w:tc>
        <w:tc>
          <w:tcPr>
            <w:tcW w:type="dxa" w:w="662"/>
            <w:shd w:val="clear" w:fill="F6F7F9"/>
          </w:tcPr>
          <w:p>
            <w:pPr>
              <w:spacing w:after="0" w:before="0"/>
              <w:jc w:val="right"/>
            </w:pPr>
            <w:r/>
            <w:r>
              <w:rPr>
                <w:sz w:val="14"/>
              </w:rPr>
              <w:t>3.3</w:t>
            </w:r>
          </w:p>
        </w:tc>
        <w:tc>
          <w:tcPr>
            <w:tcW w:type="dxa" w:w="662"/>
            <w:shd w:val="clear" w:fill="F6F7F9"/>
          </w:tcPr>
          <w:p>
            <w:pPr>
              <w:spacing w:after="0" w:before="0"/>
              <w:jc w:val="right"/>
            </w:pPr>
            <w:r/>
            <w:r>
              <w:rPr>
                <w:sz w:val="14"/>
              </w:rPr>
              <w:t>0.3</w:t>
            </w:r>
          </w:p>
        </w:tc>
        <w:tc>
          <w:tcPr>
            <w:tcW w:type="dxa" w:w="662"/>
            <w:shd w:val="clear" w:fill="F6F7F9"/>
          </w:tcPr>
          <w:p>
            <w:pPr>
              <w:spacing w:after="0" w:before="0"/>
              <w:jc w:val="right"/>
            </w:pPr>
            <w:r/>
            <w:r>
              <w:rPr>
                <w:sz w:val="14"/>
              </w:rPr>
              <w:t>4.2</w:t>
            </w:r>
          </w:p>
        </w:tc>
        <w:tc>
          <w:tcPr>
            <w:tcW w:type="dxa" w:w="662"/>
            <w:shd w:val="clear" w:fill="F6F7F9"/>
          </w:tcPr>
          <w:p>
            <w:pPr>
              <w:spacing w:after="0" w:before="0"/>
              <w:jc w:val="right"/>
            </w:pPr>
            <w:r/>
            <w:r>
              <w:rPr>
                <w:sz w:val="14"/>
              </w:rPr>
              <w:t>4.0</w:t>
            </w:r>
          </w:p>
        </w:tc>
        <w:tc>
          <w:tcPr>
            <w:tcW w:type="dxa" w:w="662"/>
            <w:shd w:val="clear" w:fill="F6F7F9"/>
          </w:tcPr>
          <w:p>
            <w:pPr>
              <w:spacing w:after="0" w:before="0"/>
              <w:jc w:val="right"/>
            </w:pPr>
            <w:r/>
            <w:r>
              <w:rPr>
                <w:sz w:val="14"/>
              </w:rPr>
              <w:t>1.7</w:t>
            </w:r>
          </w:p>
        </w:tc>
        <w:tc>
          <w:tcPr>
            <w:tcW w:type="dxa" w:w="662"/>
            <w:shd w:val="clear" w:fill="F6F7F9"/>
          </w:tcPr>
          <w:p>
            <w:pPr>
              <w:spacing w:after="0" w:before="0"/>
              <w:jc w:val="right"/>
            </w:pPr>
            <w:r/>
            <w:r>
              <w:rPr>
                <w:sz w:val="14"/>
              </w:rPr>
              <w:t>(3.9)</w:t>
            </w:r>
          </w:p>
        </w:tc>
        <w:tc>
          <w:tcPr>
            <w:tcW w:type="dxa" w:w="662"/>
            <w:shd w:val="clear" w:fill="F6F7F9"/>
          </w:tcPr>
          <w:p>
            <w:pPr>
              <w:spacing w:after="0" w:before="0"/>
              <w:jc w:val="right"/>
            </w:pPr>
            <w:r/>
            <w:r>
              <w:rPr>
                <w:sz w:val="14"/>
              </w:rPr>
              <w:t>(2.0)</w:t>
            </w:r>
          </w:p>
        </w:tc>
        <w:tc>
          <w:tcPr>
            <w:tcW w:type="dxa" w:w="662"/>
            <w:shd w:val="clear" w:fill="F6F7F9"/>
          </w:tcPr>
          <w:p>
            <w:pPr>
              <w:spacing w:after="0" w:before="0"/>
              <w:jc w:val="right"/>
            </w:pPr>
            <w:r/>
            <w:r>
              <w:rPr>
                <w:sz w:val="14"/>
              </w:rPr>
              <w:t>(2.4)</w:t>
            </w:r>
          </w:p>
        </w:tc>
        <w:tc>
          <w:tcPr>
            <w:tcW w:type="dxa" w:w="662"/>
            <w:shd w:val="clear" w:fill="F6F7F9"/>
          </w:tcPr>
          <w:p>
            <w:pPr>
              <w:spacing w:after="0" w:before="0"/>
              <w:jc w:val="right"/>
            </w:pPr>
            <w:r/>
            <w:r>
              <w:rPr>
                <w:sz w:val="14"/>
              </w:rPr>
              <w:t>(4.9)</w:t>
            </w:r>
          </w:p>
        </w:tc>
        <w:tc>
          <w:tcPr>
            <w:tcW w:type="dxa" w:w="662"/>
            <w:shd w:val="clear" w:fill="F6F7F9"/>
          </w:tcPr>
          <w:p>
            <w:pPr>
              <w:spacing w:after="0" w:before="0"/>
              <w:jc w:val="right"/>
            </w:pPr>
            <w:r/>
            <w:r>
              <w:rPr>
                <w:sz w:val="14"/>
              </w:rPr>
              <w:t>(2.4)</w:t>
            </w:r>
          </w:p>
        </w:tc>
        <w:tc>
          <w:tcPr>
            <w:tcW w:type="dxa" w:w="662"/>
            <w:shd w:val="clear" w:fill="F6F7F9"/>
          </w:tcPr>
          <w:p>
            <w:pPr>
              <w:spacing w:after="0" w:before="0"/>
              <w:jc w:val="right"/>
            </w:pPr>
            <w:r/>
            <w:r>
              <w:rPr>
                <w:sz w:val="14"/>
              </w:rPr>
              <w:t>(4.7)</w:t>
            </w:r>
          </w:p>
        </w:tc>
        <w:tc>
          <w:tcPr>
            <w:tcW w:type="dxa" w:w="662"/>
            <w:shd w:val="clear" w:fill="F6F7F9"/>
          </w:tcPr>
          <w:p>
            <w:pPr>
              <w:spacing w:after="0" w:before="0"/>
              <w:jc w:val="right"/>
            </w:pPr>
            <w:r/>
            <w:r>
              <w:rPr>
                <w:sz w:val="14"/>
              </w:rPr>
              <w:t>(1.0)</w:t>
            </w:r>
          </w:p>
        </w:tc>
        <w:tc>
          <w:tcPr>
            <w:tcW w:type="dxa" w:w="662"/>
            <w:shd w:val="clear" w:fill="F6F7F9"/>
          </w:tcPr>
          <w:p>
            <w:pPr>
              <w:spacing w:after="0" w:before="0"/>
              <w:jc w:val="right"/>
            </w:pPr>
            <w:r/>
            <w:r>
              <w:rPr>
                <w:sz w:val="14"/>
              </w:rPr>
              <w:t>(8.1)</w:t>
            </w:r>
          </w:p>
        </w:tc>
        <w:tc>
          <w:tcPr>
            <w:tcW w:type="dxa" w:w="662"/>
            <w:shd w:val="clear" w:fill="F6F7F9"/>
          </w:tcPr>
          <w:p>
            <w:pPr>
              <w:spacing w:after="0" w:before="0"/>
              <w:jc w:val="right"/>
            </w:pPr>
            <w:r/>
            <w:r>
              <w:rPr>
                <w:sz w:val="14"/>
              </w:rPr>
              <w:t>9.2</w:t>
            </w:r>
          </w:p>
        </w:tc>
      </w:tr>
      <w:tr>
        <w:trPr>
          <w:cantSplit/>
        </w:trPr>
        <w:tc>
          <w:tcPr>
            <w:tcW w:type="dxa" w:w="662"/>
          </w:tcPr>
          <w:p>
            <w:pPr>
              <w:spacing w:after="0" w:before="0"/>
            </w:pPr>
            <w:r/>
            <w:r>
              <w:rPr>
                <w:b/>
                <w:sz w:val="14"/>
              </w:rPr>
              <w:t>2008</w:t>
            </w:r>
          </w:p>
        </w:tc>
        <w:tc>
          <w:tcPr>
            <w:tcW w:type="dxa" w:w="662"/>
          </w:tcPr>
          <w:p>
            <w:pPr>
              <w:spacing w:after="0" w:before="0"/>
              <w:jc w:val="right"/>
            </w:pPr>
            <w:r/>
            <w:r>
              <w:rPr>
                <w:sz w:val="14"/>
              </w:rPr>
              <w:t>(10.9)</w:t>
            </w:r>
          </w:p>
        </w:tc>
        <w:tc>
          <w:tcPr>
            <w:tcW w:type="dxa" w:w="662"/>
          </w:tcPr>
          <w:p>
            <w:pPr>
              <w:spacing w:after="0" w:before="0"/>
              <w:jc w:val="right"/>
            </w:pPr>
            <w:r/>
            <w:r>
              <w:rPr>
                <w:sz w:val="14"/>
              </w:rPr>
              <w:t>7.2</w:t>
            </w:r>
          </w:p>
        </w:tc>
        <w:tc>
          <w:tcPr>
            <w:tcW w:type="dxa" w:w="662"/>
          </w:tcPr>
          <w:p>
            <w:pPr>
              <w:spacing w:after="0" w:before="0"/>
              <w:jc w:val="right"/>
            </w:pPr>
            <w:r/>
            <w:r>
              <w:rPr>
                <w:sz w:val="14"/>
              </w:rPr>
              <w:t>(0.3)</w:t>
            </w:r>
          </w:p>
        </w:tc>
        <w:tc>
          <w:tcPr>
            <w:tcW w:type="dxa" w:w="662"/>
          </w:tcPr>
          <w:p>
            <w:pPr>
              <w:spacing w:after="0" w:before="0"/>
              <w:jc w:val="right"/>
            </w:pPr>
            <w:r/>
            <w:r>
              <w:rPr>
                <w:sz w:val="14"/>
              </w:rPr>
              <w:t>(4.7)</w:t>
            </w:r>
          </w:p>
        </w:tc>
        <w:tc>
          <w:tcPr>
            <w:tcW w:type="dxa" w:w="662"/>
          </w:tcPr>
          <w:p>
            <w:pPr>
              <w:spacing w:after="0" w:before="0"/>
              <w:jc w:val="right"/>
            </w:pPr>
            <w:r/>
            <w:r>
              <w:rPr>
                <w:sz w:val="14"/>
              </w:rPr>
              <w:t>2.1</w:t>
            </w:r>
          </w:p>
        </w:tc>
        <w:tc>
          <w:tcPr>
            <w:tcW w:type="dxa" w:w="662"/>
          </w:tcPr>
          <w:p>
            <w:pPr>
              <w:spacing w:after="0" w:before="0"/>
              <w:jc w:val="right"/>
            </w:pPr>
            <w:r/>
            <w:r>
              <w:rPr>
                <w:sz w:val="14"/>
              </w:rPr>
              <w:t>(17.9)</w:t>
            </w:r>
          </w:p>
        </w:tc>
        <w:tc>
          <w:tcPr>
            <w:tcW w:type="dxa" w:w="662"/>
          </w:tcPr>
          <w:p>
            <w:pPr>
              <w:spacing w:after="0" w:before="0"/>
              <w:jc w:val="right"/>
            </w:pPr>
            <w:r/>
            <w:r>
              <w:rPr>
                <w:sz w:val="14"/>
              </w:rPr>
              <w:t>0.8</w:t>
            </w:r>
          </w:p>
        </w:tc>
        <w:tc>
          <w:tcPr>
            <w:tcW w:type="dxa" w:w="662"/>
          </w:tcPr>
          <w:p>
            <w:pPr>
              <w:spacing w:after="0" w:before="0"/>
              <w:jc w:val="right"/>
            </w:pPr>
            <w:r/>
            <w:r>
              <w:rPr>
                <w:sz w:val="14"/>
              </w:rPr>
              <w:t>3.8</w:t>
            </w:r>
          </w:p>
        </w:tc>
        <w:tc>
          <w:tcPr>
            <w:tcW w:type="dxa" w:w="662"/>
          </w:tcPr>
          <w:p>
            <w:pPr>
              <w:spacing w:after="0" w:before="0"/>
              <w:jc w:val="right"/>
            </w:pPr>
            <w:r/>
            <w:r>
              <w:rPr>
                <w:sz w:val="14"/>
              </w:rPr>
              <w:t>(13.9)</w:t>
            </w:r>
          </w:p>
        </w:tc>
        <w:tc>
          <w:tcPr>
            <w:tcW w:type="dxa" w:w="662"/>
          </w:tcPr>
          <w:p>
            <w:pPr>
              <w:spacing w:after="0" w:before="0"/>
              <w:jc w:val="right"/>
            </w:pPr>
            <w:r/>
            <w:r>
              <w:rPr>
                <w:sz w:val="14"/>
              </w:rPr>
              <w:t>(12.7)</w:t>
            </w:r>
          </w:p>
        </w:tc>
        <w:tc>
          <w:tcPr>
            <w:tcW w:type="dxa" w:w="662"/>
          </w:tcPr>
          <w:p>
            <w:pPr>
              <w:spacing w:after="0" w:before="0"/>
              <w:jc w:val="right"/>
            </w:pPr>
            <w:r/>
            <w:r>
              <w:rPr>
                <w:sz w:val="14"/>
              </w:rPr>
              <w:t>(0.4)</w:t>
            </w:r>
          </w:p>
        </w:tc>
        <w:tc>
          <w:tcPr>
            <w:tcW w:type="dxa" w:w="662"/>
          </w:tcPr>
          <w:p>
            <w:pPr>
              <w:spacing w:after="0" w:before="0"/>
              <w:jc w:val="right"/>
            </w:pPr>
            <w:r/>
            <w:r>
              <w:rPr>
                <w:sz w:val="14"/>
              </w:rPr>
              <w:t>(1.5)</w:t>
            </w:r>
          </w:p>
        </w:tc>
        <w:tc>
          <w:tcPr>
            <w:tcW w:type="dxa" w:w="662"/>
          </w:tcPr>
          <w:p>
            <w:pPr>
              <w:spacing w:after="0" w:before="0"/>
              <w:jc w:val="right"/>
            </w:pPr>
            <w:r/>
            <w:r>
              <w:rPr>
                <w:sz w:val="14"/>
              </w:rPr>
              <w:t>(41.4)</w:t>
            </w:r>
          </w:p>
        </w:tc>
        <w:tc>
          <w:tcPr>
            <w:tcW w:type="dxa" w:w="662"/>
          </w:tcPr>
          <w:p>
            <w:pPr>
              <w:spacing w:after="0" w:before="0"/>
              <w:jc w:val="right"/>
            </w:pPr>
            <w:r/>
            <w:r>
              <w:rPr>
                <w:sz w:val="14"/>
              </w:rPr>
              <w:t>(43.6)</w:t>
            </w:r>
          </w:p>
        </w:tc>
      </w:tr>
      <w:tr>
        <w:trPr>
          <w:cantSplit/>
        </w:trPr>
        <w:tc>
          <w:tcPr>
            <w:tcW w:type="dxa" w:w="662"/>
            <w:shd w:val="clear" w:fill="F6F7F9"/>
          </w:tcPr>
          <w:p>
            <w:pPr>
              <w:spacing w:after="0" w:before="0"/>
            </w:pPr>
            <w:r/>
            <w:r>
              <w:rPr>
                <w:b/>
                <w:sz w:val="14"/>
              </w:rPr>
              <w:t>2009</w:t>
            </w:r>
          </w:p>
        </w:tc>
        <w:tc>
          <w:tcPr>
            <w:tcW w:type="dxa" w:w="662"/>
            <w:shd w:val="clear" w:fill="F6F7F9"/>
          </w:tcPr>
          <w:p>
            <w:pPr>
              <w:spacing w:after="0" w:before="0"/>
              <w:jc w:val="right"/>
            </w:pPr>
            <w:r/>
            <w:r>
              <w:rPr>
                <w:sz w:val="14"/>
              </w:rPr>
              <w:t>0.5</w:t>
            </w:r>
          </w:p>
        </w:tc>
        <w:tc>
          <w:tcPr>
            <w:tcW w:type="dxa" w:w="662"/>
            <w:shd w:val="clear" w:fill="F6F7F9"/>
          </w:tcPr>
          <w:p>
            <w:pPr>
              <w:spacing w:after="0" w:before="0"/>
              <w:jc w:val="right"/>
            </w:pPr>
            <w:r/>
            <w:r>
              <w:rPr>
                <w:sz w:val="14"/>
              </w:rPr>
              <w:t>2.2</w:t>
            </w:r>
          </w:p>
        </w:tc>
        <w:tc>
          <w:tcPr>
            <w:tcW w:type="dxa" w:w="662"/>
            <w:shd w:val="clear" w:fill="F6F7F9"/>
          </w:tcPr>
          <w:p>
            <w:pPr>
              <w:spacing w:after="0" w:before="0"/>
              <w:jc w:val="right"/>
            </w:pPr>
            <w:r/>
            <w:r>
              <w:rPr>
                <w:sz w:val="14"/>
              </w:rPr>
              <w:t>3.1</w:t>
            </w:r>
          </w:p>
        </w:tc>
        <w:tc>
          <w:tcPr>
            <w:tcW w:type="dxa" w:w="662"/>
            <w:shd w:val="clear" w:fill="F6F7F9"/>
          </w:tcPr>
          <w:p>
            <w:pPr>
              <w:spacing w:after="0" w:before="0"/>
              <w:jc w:val="right"/>
            </w:pPr>
            <w:r/>
            <w:r>
              <w:rPr>
                <w:sz w:val="14"/>
              </w:rPr>
              <w:t>21.7</w:t>
            </w:r>
          </w:p>
        </w:tc>
        <w:tc>
          <w:tcPr>
            <w:tcW w:type="dxa" w:w="662"/>
            <w:shd w:val="clear" w:fill="F6F7F9"/>
          </w:tcPr>
          <w:p>
            <w:pPr>
              <w:spacing w:after="0" w:before="0"/>
              <w:jc w:val="right"/>
            </w:pPr>
            <w:r/>
            <w:r>
              <w:rPr>
                <w:sz w:val="14"/>
              </w:rPr>
              <w:t>6.4</w:t>
            </w:r>
          </w:p>
        </w:tc>
        <w:tc>
          <w:tcPr>
            <w:tcW w:type="dxa" w:w="662"/>
            <w:shd w:val="clear" w:fill="F6F7F9"/>
          </w:tcPr>
          <w:p>
            <w:pPr>
              <w:spacing w:after="0" w:before="0"/>
              <w:jc w:val="right"/>
            </w:pPr>
            <w:r/>
            <w:r>
              <w:rPr>
                <w:sz w:val="14"/>
              </w:rPr>
              <w:t>(1.2)</w:t>
            </w:r>
          </w:p>
        </w:tc>
        <w:tc>
          <w:tcPr>
            <w:tcW w:type="dxa" w:w="662"/>
            <w:shd w:val="clear" w:fill="F6F7F9"/>
          </w:tcPr>
          <w:p>
            <w:pPr>
              <w:spacing w:after="0" w:before="0"/>
              <w:jc w:val="right"/>
            </w:pPr>
            <w:r/>
            <w:r>
              <w:rPr>
                <w:sz w:val="14"/>
              </w:rPr>
              <w:t>8.3</w:t>
            </w:r>
          </w:p>
        </w:tc>
        <w:tc>
          <w:tcPr>
            <w:tcW w:type="dxa" w:w="662"/>
            <w:shd w:val="clear" w:fill="F6F7F9"/>
          </w:tcPr>
          <w:p>
            <w:pPr>
              <w:spacing w:after="0" w:before="0"/>
              <w:jc w:val="right"/>
            </w:pPr>
            <w:r/>
            <w:r>
              <w:rPr>
                <w:sz w:val="14"/>
              </w:rPr>
              <w:t>8.7</w:t>
            </w:r>
          </w:p>
        </w:tc>
        <w:tc>
          <w:tcPr>
            <w:tcW w:type="dxa" w:w="662"/>
            <w:shd w:val="clear" w:fill="F6F7F9"/>
          </w:tcPr>
          <w:p>
            <w:pPr>
              <w:spacing w:after="0" w:before="0"/>
              <w:jc w:val="right"/>
            </w:pPr>
            <w:r/>
            <w:r>
              <w:rPr>
                <w:sz w:val="14"/>
              </w:rPr>
              <w:t>3.6</w:t>
            </w:r>
          </w:p>
        </w:tc>
        <w:tc>
          <w:tcPr>
            <w:tcW w:type="dxa" w:w="662"/>
            <w:shd w:val="clear" w:fill="F6F7F9"/>
          </w:tcPr>
          <w:p>
            <w:pPr>
              <w:spacing w:after="0" w:before="0"/>
              <w:jc w:val="right"/>
            </w:pPr>
            <w:r/>
            <w:r>
              <w:rPr>
                <w:sz w:val="14"/>
              </w:rPr>
              <w:t>4.8</w:t>
            </w:r>
          </w:p>
        </w:tc>
        <w:tc>
          <w:tcPr>
            <w:tcW w:type="dxa" w:w="662"/>
            <w:shd w:val="clear" w:fill="F6F7F9"/>
          </w:tcPr>
          <w:p>
            <w:pPr>
              <w:spacing w:after="0" w:before="0"/>
              <w:jc w:val="right"/>
            </w:pPr>
            <w:r/>
            <w:r>
              <w:rPr>
                <w:sz w:val="14"/>
              </w:rPr>
              <w:t>2.8</w:t>
            </w:r>
          </w:p>
        </w:tc>
        <w:tc>
          <w:tcPr>
            <w:tcW w:type="dxa" w:w="662"/>
            <w:shd w:val="clear" w:fill="F6F7F9"/>
          </w:tcPr>
          <w:p>
            <w:pPr>
              <w:spacing w:after="0" w:before="0"/>
              <w:jc w:val="right"/>
            </w:pPr>
            <w:r/>
            <w:r>
              <w:rPr>
                <w:sz w:val="14"/>
              </w:rPr>
              <w:t>2.3</w:t>
            </w:r>
          </w:p>
        </w:tc>
        <w:tc>
          <w:tcPr>
            <w:tcW w:type="dxa" w:w="662"/>
            <w:shd w:val="clear" w:fill="F6F7F9"/>
          </w:tcPr>
          <w:p>
            <w:pPr>
              <w:spacing w:after="0" w:before="0"/>
              <w:jc w:val="right"/>
            </w:pPr>
            <w:r/>
            <w:r>
              <w:rPr>
                <w:sz w:val="14"/>
              </w:rPr>
              <w:t>82.1</w:t>
            </w:r>
          </w:p>
        </w:tc>
        <w:tc>
          <w:tcPr>
            <w:tcW w:type="dxa" w:w="662"/>
            <w:shd w:val="clear" w:fill="F6F7F9"/>
          </w:tcPr>
          <w:p>
            <w:pPr>
              <w:spacing w:after="0" w:before="0"/>
              <w:jc w:val="right"/>
            </w:pPr>
            <w:r/>
            <w:r>
              <w:rPr>
                <w:sz w:val="14"/>
              </w:rPr>
              <w:t>33.3</w:t>
            </w:r>
          </w:p>
        </w:tc>
      </w:tr>
      <w:tr>
        <w:trPr>
          <w:cantSplit/>
        </w:trPr>
        <w:tc>
          <w:tcPr>
            <w:tcW w:type="dxa" w:w="662"/>
          </w:tcPr>
          <w:p>
            <w:pPr>
              <w:spacing w:after="0" w:before="0"/>
            </w:pPr>
            <w:r/>
            <w:r>
              <w:rPr>
                <w:b/>
                <w:sz w:val="14"/>
              </w:rPr>
              <w:t>2010</w:t>
            </w:r>
          </w:p>
        </w:tc>
        <w:tc>
          <w:tcPr>
            <w:tcW w:type="dxa" w:w="662"/>
          </w:tcPr>
          <w:p>
            <w:pPr>
              <w:spacing w:after="0" w:before="0"/>
              <w:jc w:val="right"/>
            </w:pPr>
            <w:r/>
            <w:r>
              <w:rPr>
                <w:sz w:val="14"/>
              </w:rPr>
              <w:t>2.0</w:t>
            </w:r>
          </w:p>
        </w:tc>
        <w:tc>
          <w:tcPr>
            <w:tcW w:type="dxa" w:w="662"/>
          </w:tcPr>
          <w:p>
            <w:pPr>
              <w:spacing w:after="0" w:before="0"/>
              <w:jc w:val="right"/>
            </w:pPr>
            <w:r/>
            <w:r>
              <w:rPr>
                <w:sz w:val="14"/>
              </w:rPr>
              <w:t>(2.0)</w:t>
            </w:r>
          </w:p>
        </w:tc>
        <w:tc>
          <w:tcPr>
            <w:tcW w:type="dxa" w:w="662"/>
          </w:tcPr>
          <w:p>
            <w:pPr>
              <w:spacing w:after="0" w:before="0"/>
              <w:jc w:val="right"/>
            </w:pPr>
            <w:r/>
            <w:r>
              <w:rPr>
                <w:sz w:val="14"/>
              </w:rPr>
              <w:t>7.2</w:t>
            </w:r>
          </w:p>
        </w:tc>
        <w:tc>
          <w:tcPr>
            <w:tcW w:type="dxa" w:w="662"/>
          </w:tcPr>
          <w:p>
            <w:pPr>
              <w:spacing w:after="0" w:before="0"/>
              <w:jc w:val="right"/>
            </w:pPr>
            <w:r/>
            <w:r>
              <w:rPr>
                <w:sz w:val="14"/>
              </w:rPr>
              <w:t>9.5</w:t>
            </w:r>
          </w:p>
        </w:tc>
        <w:tc>
          <w:tcPr>
            <w:tcW w:type="dxa" w:w="662"/>
          </w:tcPr>
          <w:p>
            <w:pPr>
              <w:spacing w:after="0" w:before="0"/>
              <w:jc w:val="right"/>
            </w:pPr>
            <w:r/>
            <w:r>
              <w:rPr>
                <w:sz w:val="14"/>
              </w:rPr>
              <w:t>(8.6)</w:t>
            </w:r>
          </w:p>
        </w:tc>
        <w:tc>
          <w:tcPr>
            <w:tcW w:type="dxa" w:w="662"/>
          </w:tcPr>
          <w:p>
            <w:pPr>
              <w:spacing w:after="0" w:before="0"/>
              <w:jc w:val="right"/>
            </w:pPr>
            <w:r/>
            <w:r>
              <w:rPr>
                <w:sz w:val="14"/>
              </w:rPr>
              <w:t>(2.6)</w:t>
            </w:r>
          </w:p>
        </w:tc>
        <w:tc>
          <w:tcPr>
            <w:tcW w:type="dxa" w:w="662"/>
          </w:tcPr>
          <w:p>
            <w:pPr>
              <w:spacing w:after="0" w:before="0"/>
              <w:jc w:val="right"/>
            </w:pPr>
            <w:r/>
            <w:r>
              <w:rPr>
                <w:sz w:val="14"/>
              </w:rPr>
              <w:t>7.4</w:t>
            </w:r>
          </w:p>
        </w:tc>
        <w:tc>
          <w:tcPr>
            <w:tcW w:type="dxa" w:w="662"/>
          </w:tcPr>
          <w:p>
            <w:pPr>
              <w:spacing w:after="0" w:before="0"/>
              <w:jc w:val="right"/>
            </w:pPr>
            <w:r/>
            <w:r>
              <w:rPr>
                <w:sz w:val="14"/>
              </w:rPr>
              <w:t>(5.5)</w:t>
            </w:r>
          </w:p>
        </w:tc>
        <w:tc>
          <w:tcPr>
            <w:tcW w:type="dxa" w:w="662"/>
          </w:tcPr>
          <w:p>
            <w:pPr>
              <w:spacing w:after="0" w:before="0"/>
              <w:jc w:val="right"/>
            </w:pPr>
            <w:r/>
            <w:r>
              <w:rPr>
                <w:sz w:val="14"/>
              </w:rPr>
              <w:t>13.3</w:t>
            </w:r>
          </w:p>
        </w:tc>
        <w:tc>
          <w:tcPr>
            <w:tcW w:type="dxa" w:w="662"/>
          </w:tcPr>
          <w:p>
            <w:pPr>
              <w:spacing w:after="0" w:before="0"/>
              <w:jc w:val="right"/>
            </w:pPr>
            <w:r/>
            <w:r>
              <w:rPr>
                <w:sz w:val="14"/>
              </w:rPr>
              <w:t>(0.8)</w:t>
            </w:r>
          </w:p>
        </w:tc>
        <w:tc>
          <w:tcPr>
            <w:tcW w:type="dxa" w:w="662"/>
          </w:tcPr>
          <w:p>
            <w:pPr>
              <w:spacing w:after="0" w:before="0"/>
              <w:jc w:val="right"/>
            </w:pPr>
            <w:r/>
            <w:r>
              <w:rPr>
                <w:sz w:val="14"/>
              </w:rPr>
              <w:t>1.0</w:t>
            </w:r>
          </w:p>
        </w:tc>
        <w:tc>
          <w:tcPr>
            <w:tcW w:type="dxa" w:w="662"/>
          </w:tcPr>
          <w:p>
            <w:pPr>
              <w:spacing w:after="0" w:before="0"/>
              <w:jc w:val="right"/>
            </w:pPr>
            <w:r/>
            <w:r>
              <w:rPr>
                <w:sz w:val="14"/>
              </w:rPr>
              <w:t>6.8</w:t>
            </w:r>
          </w:p>
        </w:tc>
        <w:tc>
          <w:tcPr>
            <w:tcW w:type="dxa" w:w="662"/>
          </w:tcPr>
          <w:p>
            <w:pPr>
              <w:spacing w:after="0" w:before="0"/>
              <w:jc w:val="right"/>
            </w:pPr>
            <w:r/>
            <w:r>
              <w:rPr>
                <w:sz w:val="14"/>
              </w:rPr>
              <w:t>28.3</w:t>
            </w:r>
          </w:p>
        </w:tc>
        <w:tc>
          <w:tcPr>
            <w:tcW w:type="dxa" w:w="662"/>
          </w:tcPr>
          <w:p>
            <w:pPr>
              <w:spacing w:after="0" w:before="0"/>
              <w:jc w:val="right"/>
            </w:pPr>
            <w:r/>
            <w:r>
              <w:rPr>
                <w:sz w:val="14"/>
              </w:rPr>
              <w:t>12.1</w:t>
            </w:r>
          </w:p>
        </w:tc>
      </w:tr>
      <w:tr>
        <w:trPr>
          <w:cantSplit/>
        </w:trPr>
        <w:tc>
          <w:tcPr>
            <w:tcW w:type="dxa" w:w="662"/>
            <w:shd w:val="clear" w:fill="F6F7F9"/>
          </w:tcPr>
          <w:p>
            <w:pPr>
              <w:spacing w:after="0" w:before="0"/>
            </w:pPr>
            <w:r/>
            <w:r>
              <w:rPr>
                <w:b/>
                <w:sz w:val="14"/>
              </w:rPr>
              <w:t>2011</w:t>
            </w:r>
          </w:p>
        </w:tc>
        <w:tc>
          <w:tcPr>
            <w:tcW w:type="dxa" w:w="662"/>
            <w:shd w:val="clear" w:fill="F6F7F9"/>
          </w:tcPr>
          <w:p>
            <w:pPr>
              <w:spacing w:after="0" w:before="0"/>
              <w:jc w:val="right"/>
            </w:pPr>
            <w:r/>
            <w:r>
              <w:rPr>
                <w:sz w:val="14"/>
              </w:rPr>
              <w:t>(2.0)</w:t>
            </w:r>
          </w:p>
        </w:tc>
        <w:tc>
          <w:tcPr>
            <w:tcW w:type="dxa" w:w="662"/>
            <w:shd w:val="clear" w:fill="F6F7F9"/>
          </w:tcPr>
          <w:p>
            <w:pPr>
              <w:spacing w:after="0" w:before="0"/>
              <w:jc w:val="right"/>
            </w:pPr>
            <w:r/>
            <w:r>
              <w:rPr>
                <w:sz w:val="14"/>
              </w:rPr>
              <w:t>(1.2)</w:t>
            </w:r>
          </w:p>
        </w:tc>
        <w:tc>
          <w:tcPr>
            <w:tcW w:type="dxa" w:w="662"/>
            <w:shd w:val="clear" w:fill="F6F7F9"/>
          </w:tcPr>
          <w:p>
            <w:pPr>
              <w:spacing w:after="0" w:before="0"/>
              <w:jc w:val="right"/>
            </w:pPr>
            <w:r/>
            <w:r>
              <w:rPr>
                <w:sz w:val="14"/>
              </w:rPr>
              <w:t>5.5</w:t>
            </w:r>
          </w:p>
        </w:tc>
        <w:tc>
          <w:tcPr>
            <w:tcW w:type="dxa" w:w="662"/>
            <w:shd w:val="clear" w:fill="F6F7F9"/>
          </w:tcPr>
          <w:p>
            <w:pPr>
              <w:spacing w:after="0" w:before="0"/>
              <w:jc w:val="right"/>
            </w:pPr>
            <w:r/>
            <w:r>
              <w:rPr>
                <w:sz w:val="14"/>
              </w:rPr>
              <w:t>(0.3)</w:t>
            </w:r>
          </w:p>
        </w:tc>
        <w:tc>
          <w:tcPr>
            <w:tcW w:type="dxa" w:w="662"/>
            <w:shd w:val="clear" w:fill="F6F7F9"/>
          </w:tcPr>
          <w:p>
            <w:pPr>
              <w:spacing w:after="0" w:before="0"/>
              <w:jc w:val="right"/>
            </w:pPr>
            <w:r/>
            <w:r>
              <w:rPr>
                <w:sz w:val="14"/>
              </w:rPr>
              <w:t>(2.4)</w:t>
            </w:r>
          </w:p>
        </w:tc>
        <w:tc>
          <w:tcPr>
            <w:tcW w:type="dxa" w:w="662"/>
            <w:shd w:val="clear" w:fill="F6F7F9"/>
          </w:tcPr>
          <w:p>
            <w:pPr>
              <w:spacing w:after="0" w:before="0"/>
              <w:jc w:val="right"/>
            </w:pPr>
            <w:r/>
            <w:r>
              <w:rPr>
                <w:sz w:val="14"/>
              </w:rPr>
              <w:t>(4.2)</w:t>
            </w:r>
          </w:p>
        </w:tc>
        <w:tc>
          <w:tcPr>
            <w:tcW w:type="dxa" w:w="662"/>
            <w:shd w:val="clear" w:fill="F6F7F9"/>
          </w:tcPr>
          <w:p>
            <w:pPr>
              <w:spacing w:after="0" w:before="0"/>
              <w:jc w:val="right"/>
            </w:pPr>
            <w:r/>
            <w:r>
              <w:rPr>
                <w:sz w:val="14"/>
              </w:rPr>
              <w:t>(3.2)</w:t>
            </w:r>
          </w:p>
        </w:tc>
        <w:tc>
          <w:tcPr>
            <w:tcW w:type="dxa" w:w="662"/>
            <w:shd w:val="clear" w:fill="F6F7F9"/>
          </w:tcPr>
          <w:p>
            <w:pPr>
              <w:spacing w:after="0" w:before="0"/>
              <w:jc w:val="right"/>
            </w:pPr>
            <w:r/>
            <w:r>
              <w:rPr>
                <w:sz w:val="14"/>
              </w:rPr>
              <w:t>(4.2)</w:t>
            </w:r>
          </w:p>
        </w:tc>
        <w:tc>
          <w:tcPr>
            <w:tcW w:type="dxa" w:w="662"/>
            <w:shd w:val="clear" w:fill="F6F7F9"/>
          </w:tcPr>
          <w:p>
            <w:pPr>
              <w:spacing w:after="0" w:before="0"/>
              <w:jc w:val="right"/>
            </w:pPr>
            <w:r/>
            <w:r>
              <w:rPr>
                <w:sz w:val="14"/>
              </w:rPr>
              <w:t>(4.0)</w:t>
            </w:r>
          </w:p>
        </w:tc>
        <w:tc>
          <w:tcPr>
            <w:tcW w:type="dxa" w:w="662"/>
            <w:shd w:val="clear" w:fill="F6F7F9"/>
          </w:tcPr>
          <w:p>
            <w:pPr>
              <w:spacing w:after="0" w:before="0"/>
              <w:jc w:val="right"/>
            </w:pPr>
            <w:r/>
            <w:r>
              <w:rPr>
                <w:sz w:val="14"/>
              </w:rPr>
              <w:t>5.2</w:t>
            </w:r>
          </w:p>
        </w:tc>
        <w:tc>
          <w:tcPr>
            <w:tcW w:type="dxa" w:w="662"/>
            <w:shd w:val="clear" w:fill="F6F7F9"/>
          </w:tcPr>
          <w:p>
            <w:pPr>
              <w:spacing w:after="0" w:before="0"/>
              <w:jc w:val="right"/>
            </w:pPr>
            <w:r/>
            <w:r>
              <w:rPr>
                <w:sz w:val="14"/>
              </w:rPr>
              <w:t>(3.7)</w:t>
            </w:r>
          </w:p>
        </w:tc>
        <w:tc>
          <w:tcPr>
            <w:tcW w:type="dxa" w:w="662"/>
            <w:shd w:val="clear" w:fill="F6F7F9"/>
          </w:tcPr>
          <w:p>
            <w:pPr>
              <w:spacing w:after="0" w:before="0"/>
              <w:jc w:val="right"/>
            </w:pPr>
            <w:r/>
            <w:r>
              <w:rPr>
                <w:sz w:val="14"/>
              </w:rPr>
              <w:t>14.2</w:t>
            </w:r>
          </w:p>
        </w:tc>
        <w:tc>
          <w:tcPr>
            <w:tcW w:type="dxa" w:w="662"/>
            <w:shd w:val="clear" w:fill="F6F7F9"/>
          </w:tcPr>
          <w:p>
            <w:pPr>
              <w:spacing w:after="0" w:before="0"/>
              <w:jc w:val="right"/>
            </w:pPr>
            <w:r/>
            <w:r>
              <w:rPr>
                <w:sz w:val="14"/>
              </w:rPr>
              <w:t>(2.0)</w:t>
            </w:r>
          </w:p>
        </w:tc>
        <w:tc>
          <w:tcPr>
            <w:tcW w:type="dxa" w:w="662"/>
            <w:shd w:val="clear" w:fill="F6F7F9"/>
          </w:tcPr>
          <w:p>
            <w:pPr>
              <w:spacing w:after="0" w:before="0"/>
              <w:jc w:val="right"/>
            </w:pPr>
            <w:r/>
            <w:r>
              <w:rPr>
                <w:sz w:val="14"/>
              </w:rPr>
              <w:t>(9.9)</w:t>
            </w:r>
          </w:p>
        </w:tc>
      </w:tr>
      <w:tr>
        <w:trPr>
          <w:cantSplit/>
        </w:trPr>
        <w:tc>
          <w:tcPr>
            <w:tcW w:type="dxa" w:w="662"/>
          </w:tcPr>
          <w:p>
            <w:pPr>
              <w:spacing w:after="0" w:before="0"/>
            </w:pPr>
            <w:r/>
            <w:r>
              <w:rPr>
                <w:b/>
                <w:sz w:val="14"/>
              </w:rPr>
              <w:t>2012</w:t>
            </w:r>
          </w:p>
        </w:tc>
        <w:tc>
          <w:tcPr>
            <w:tcW w:type="dxa" w:w="662"/>
          </w:tcPr>
          <w:p>
            <w:pPr>
              <w:spacing w:after="0" w:before="0"/>
              <w:jc w:val="right"/>
            </w:pPr>
            <w:r/>
            <w:r>
              <w:rPr>
                <w:sz w:val="14"/>
              </w:rPr>
              <w:t>5.9</w:t>
            </w:r>
          </w:p>
        </w:tc>
        <w:tc>
          <w:tcPr>
            <w:tcW w:type="dxa" w:w="662"/>
          </w:tcPr>
          <w:p>
            <w:pPr>
              <w:spacing w:after="0" w:before="0"/>
              <w:jc w:val="right"/>
            </w:pPr>
            <w:r/>
            <w:r>
              <w:rPr>
                <w:sz w:val="14"/>
              </w:rPr>
              <w:t>11.2</w:t>
            </w:r>
          </w:p>
        </w:tc>
        <w:tc>
          <w:tcPr>
            <w:tcW w:type="dxa" w:w="662"/>
          </w:tcPr>
          <w:p>
            <w:pPr>
              <w:spacing w:after="0" w:before="0"/>
              <w:jc w:val="right"/>
            </w:pPr>
            <w:r/>
            <w:r>
              <w:rPr>
                <w:sz w:val="14"/>
              </w:rPr>
              <w:t>(5.1)</w:t>
            </w:r>
          </w:p>
        </w:tc>
        <w:tc>
          <w:tcPr>
            <w:tcW w:type="dxa" w:w="662"/>
          </w:tcPr>
          <w:p>
            <w:pPr>
              <w:spacing w:after="0" w:before="0"/>
              <w:jc w:val="right"/>
            </w:pPr>
            <w:r/>
            <w:r>
              <w:rPr>
                <w:sz w:val="14"/>
              </w:rPr>
              <w:t>(0.8)</w:t>
            </w:r>
          </w:p>
        </w:tc>
        <w:tc>
          <w:tcPr>
            <w:tcW w:type="dxa" w:w="662"/>
          </w:tcPr>
          <w:p>
            <w:pPr>
              <w:spacing w:after="0" w:before="0"/>
              <w:jc w:val="right"/>
            </w:pPr>
            <w:r/>
            <w:r>
              <w:rPr>
                <w:sz w:val="14"/>
              </w:rPr>
              <w:t>(6.7)</w:t>
            </w:r>
          </w:p>
        </w:tc>
        <w:tc>
          <w:tcPr>
            <w:tcW w:type="dxa" w:w="662"/>
          </w:tcPr>
          <w:p>
            <w:pPr>
              <w:spacing w:after="0" w:before="0"/>
              <w:jc w:val="right"/>
            </w:pPr>
            <w:r/>
            <w:r>
              <w:rPr>
                <w:sz w:val="14"/>
              </w:rPr>
              <w:t>(1.8)</w:t>
            </w:r>
          </w:p>
        </w:tc>
        <w:tc>
          <w:tcPr>
            <w:tcW w:type="dxa" w:w="662"/>
          </w:tcPr>
          <w:p>
            <w:pPr>
              <w:spacing w:after="0" w:before="0"/>
              <w:jc w:val="right"/>
            </w:pPr>
            <w:r/>
            <w:r>
              <w:rPr>
                <w:sz w:val="14"/>
              </w:rPr>
              <w:t>(2.8)</w:t>
            </w:r>
          </w:p>
        </w:tc>
        <w:tc>
          <w:tcPr>
            <w:tcW w:type="dxa" w:w="662"/>
          </w:tcPr>
          <w:p>
            <w:pPr>
              <w:spacing w:after="0" w:before="0"/>
              <w:jc w:val="right"/>
            </w:pPr>
            <w:r/>
            <w:r>
              <w:rPr>
                <w:sz w:val="14"/>
              </w:rPr>
              <w:t>2.1</w:t>
            </w:r>
          </w:p>
        </w:tc>
        <w:tc>
          <w:tcPr>
            <w:tcW w:type="dxa" w:w="662"/>
          </w:tcPr>
          <w:p>
            <w:pPr>
              <w:spacing w:after="0" w:before="0"/>
              <w:jc w:val="right"/>
            </w:pPr>
            <w:r/>
            <w:r>
              <w:rPr>
                <w:sz w:val="14"/>
              </w:rPr>
              <w:t>4.0</w:t>
            </w:r>
          </w:p>
        </w:tc>
        <w:tc>
          <w:tcPr>
            <w:tcW w:type="dxa" w:w="662"/>
          </w:tcPr>
          <w:p>
            <w:pPr>
              <w:spacing w:after="0" w:before="0"/>
              <w:jc w:val="right"/>
            </w:pPr>
            <w:r/>
            <w:r>
              <w:rPr>
                <w:sz w:val="14"/>
              </w:rPr>
              <w:t>(3.4)</w:t>
            </w:r>
          </w:p>
        </w:tc>
        <w:tc>
          <w:tcPr>
            <w:tcW w:type="dxa" w:w="662"/>
          </w:tcPr>
          <w:p>
            <w:pPr>
              <w:spacing w:after="0" w:before="0"/>
              <w:jc w:val="right"/>
            </w:pPr>
            <w:r/>
            <w:r>
              <w:rPr>
                <w:sz w:val="14"/>
              </w:rPr>
              <w:t>1.9</w:t>
            </w:r>
          </w:p>
        </w:tc>
        <w:tc>
          <w:tcPr>
            <w:tcW w:type="dxa" w:w="662"/>
          </w:tcPr>
          <w:p>
            <w:pPr>
              <w:spacing w:after="0" w:before="0"/>
              <w:jc w:val="right"/>
            </w:pPr>
            <w:r/>
            <w:r>
              <w:rPr>
                <w:sz w:val="14"/>
              </w:rPr>
              <w:t>1.7</w:t>
            </w:r>
          </w:p>
        </w:tc>
        <w:tc>
          <w:tcPr>
            <w:tcW w:type="dxa" w:w="662"/>
          </w:tcPr>
          <w:p>
            <w:pPr>
              <w:spacing w:after="0" w:before="0"/>
              <w:jc w:val="right"/>
            </w:pPr>
            <w:r/>
            <w:r>
              <w:rPr>
                <w:sz w:val="14"/>
              </w:rPr>
              <w:t>5.0</w:t>
            </w:r>
          </w:p>
        </w:tc>
        <w:tc>
          <w:tcPr>
            <w:tcW w:type="dxa" w:w="662"/>
          </w:tcPr>
          <w:p>
            <w:pPr>
              <w:spacing w:after="0" w:before="0"/>
              <w:jc w:val="right"/>
            </w:pPr>
            <w:r/>
            <w:r>
              <w:rPr>
                <w:sz w:val="14"/>
              </w:rPr>
              <w:t>13.8</w:t>
            </w:r>
          </w:p>
        </w:tc>
      </w:tr>
      <w:tr>
        <w:trPr>
          <w:cantSplit/>
        </w:trPr>
        <w:tc>
          <w:tcPr>
            <w:tcW w:type="dxa" w:w="662"/>
            <w:shd w:val="clear" w:fill="F6F7F9"/>
          </w:tcPr>
          <w:p>
            <w:pPr>
              <w:spacing w:after="0" w:before="0"/>
            </w:pPr>
            <w:r/>
            <w:r>
              <w:rPr>
                <w:b/>
                <w:sz w:val="14"/>
              </w:rPr>
              <w:t>2013</w:t>
            </w:r>
          </w:p>
        </w:tc>
        <w:tc>
          <w:tcPr>
            <w:tcW w:type="dxa" w:w="662"/>
            <w:shd w:val="clear" w:fill="F6F7F9"/>
          </w:tcPr>
          <w:p>
            <w:pPr>
              <w:spacing w:after="0" w:before="0"/>
              <w:jc w:val="right"/>
            </w:pPr>
            <w:r/>
            <w:r>
              <w:rPr>
                <w:sz w:val="14"/>
              </w:rPr>
              <w:t>7.6</w:t>
            </w:r>
          </w:p>
        </w:tc>
        <w:tc>
          <w:tcPr>
            <w:tcW w:type="dxa" w:w="662"/>
            <w:shd w:val="clear" w:fill="F6F7F9"/>
          </w:tcPr>
          <w:p>
            <w:pPr>
              <w:spacing w:after="0" w:before="0"/>
              <w:jc w:val="right"/>
            </w:pPr>
            <w:r/>
            <w:r>
              <w:rPr>
                <w:sz w:val="14"/>
              </w:rPr>
              <w:t>6.4</w:t>
            </w:r>
          </w:p>
        </w:tc>
        <w:tc>
          <w:tcPr>
            <w:tcW w:type="dxa" w:w="662"/>
            <w:shd w:val="clear" w:fill="F6F7F9"/>
          </w:tcPr>
          <w:p>
            <w:pPr>
              <w:spacing w:after="0" w:before="0"/>
              <w:jc w:val="right"/>
            </w:pPr>
            <w:r/>
            <w:r>
              <w:rPr>
                <w:sz w:val="14"/>
              </w:rPr>
              <w:t>1.5</w:t>
            </w:r>
          </w:p>
        </w:tc>
        <w:tc>
          <w:tcPr>
            <w:tcW w:type="dxa" w:w="662"/>
            <w:shd w:val="clear" w:fill="F6F7F9"/>
          </w:tcPr>
          <w:p>
            <w:pPr>
              <w:spacing w:after="0" w:before="0"/>
              <w:jc w:val="right"/>
            </w:pPr>
            <w:r/>
            <w:r>
              <w:rPr>
                <w:sz w:val="14"/>
              </w:rPr>
              <w:t>(4.3)</w:t>
            </w:r>
          </w:p>
        </w:tc>
        <w:tc>
          <w:tcPr>
            <w:tcW w:type="dxa" w:w="662"/>
            <w:shd w:val="clear" w:fill="F6F7F9"/>
          </w:tcPr>
          <w:p>
            <w:pPr>
              <w:spacing w:after="0" w:before="0"/>
              <w:jc w:val="right"/>
            </w:pPr>
            <w:r/>
            <w:r>
              <w:rPr>
                <w:sz w:val="14"/>
              </w:rPr>
              <w:t>5.4</w:t>
            </w:r>
          </w:p>
        </w:tc>
        <w:tc>
          <w:tcPr>
            <w:tcW w:type="dxa" w:w="662"/>
            <w:shd w:val="clear" w:fill="F6F7F9"/>
          </w:tcPr>
          <w:p>
            <w:pPr>
              <w:spacing w:after="0" w:before="0"/>
              <w:jc w:val="right"/>
            </w:pPr>
            <w:r/>
            <w:r>
              <w:rPr>
                <w:sz w:val="14"/>
              </w:rPr>
              <w:t>(3.1)</w:t>
            </w:r>
          </w:p>
        </w:tc>
        <w:tc>
          <w:tcPr>
            <w:tcW w:type="dxa" w:w="662"/>
            <w:shd w:val="clear" w:fill="F6F7F9"/>
          </w:tcPr>
          <w:p>
            <w:pPr>
              <w:spacing w:after="0" w:before="0"/>
              <w:jc w:val="right"/>
            </w:pPr>
            <w:r/>
            <w:r>
              <w:rPr>
                <w:sz w:val="14"/>
              </w:rPr>
              <w:t>8.3</w:t>
            </w:r>
          </w:p>
        </w:tc>
        <w:tc>
          <w:tcPr>
            <w:tcW w:type="dxa" w:w="662"/>
            <w:shd w:val="clear" w:fill="F6F7F9"/>
          </w:tcPr>
          <w:p>
            <w:pPr>
              <w:spacing w:after="0" w:before="0"/>
              <w:jc w:val="right"/>
            </w:pPr>
            <w:r/>
            <w:r>
              <w:rPr>
                <w:sz w:val="14"/>
              </w:rPr>
              <w:t>(0.4)</w:t>
            </w:r>
          </w:p>
        </w:tc>
        <w:tc>
          <w:tcPr>
            <w:tcW w:type="dxa" w:w="662"/>
            <w:shd w:val="clear" w:fill="F6F7F9"/>
          </w:tcPr>
          <w:p>
            <w:pPr>
              <w:spacing w:after="0" w:before="0"/>
              <w:jc w:val="right"/>
            </w:pPr>
            <w:r/>
            <w:r>
              <w:rPr>
                <w:sz w:val="14"/>
              </w:rPr>
              <w:t>5.2</w:t>
            </w:r>
          </w:p>
        </w:tc>
        <w:tc>
          <w:tcPr>
            <w:tcW w:type="dxa" w:w="662"/>
            <w:shd w:val="clear" w:fill="F6F7F9"/>
          </w:tcPr>
          <w:p>
            <w:pPr>
              <w:spacing w:after="0" w:before="0"/>
              <w:jc w:val="right"/>
            </w:pPr>
            <w:r/>
            <w:r>
              <w:rPr>
                <w:sz w:val="14"/>
              </w:rPr>
              <w:t>3.7</w:t>
            </w:r>
          </w:p>
        </w:tc>
        <w:tc>
          <w:tcPr>
            <w:tcW w:type="dxa" w:w="662"/>
            <w:shd w:val="clear" w:fill="F6F7F9"/>
          </w:tcPr>
          <w:p>
            <w:pPr>
              <w:spacing w:after="0" w:before="0"/>
              <w:jc w:val="right"/>
            </w:pPr>
            <w:r/>
            <w:r>
              <w:rPr>
                <w:sz w:val="14"/>
              </w:rPr>
              <w:t>2.4</w:t>
            </w:r>
          </w:p>
        </w:tc>
        <w:tc>
          <w:tcPr>
            <w:tcW w:type="dxa" w:w="662"/>
            <w:shd w:val="clear" w:fill="F6F7F9"/>
          </w:tcPr>
          <w:p>
            <w:pPr>
              <w:spacing w:after="0" w:before="0"/>
              <w:jc w:val="right"/>
            </w:pPr>
            <w:r/>
            <w:r>
              <w:rPr>
                <w:sz w:val="14"/>
              </w:rPr>
              <w:t>0.5</w:t>
            </w:r>
          </w:p>
        </w:tc>
        <w:tc>
          <w:tcPr>
            <w:tcW w:type="dxa" w:w="662"/>
            <w:shd w:val="clear" w:fill="F6F7F9"/>
          </w:tcPr>
          <w:p>
            <w:pPr>
              <w:spacing w:after="0" w:before="0"/>
              <w:jc w:val="right"/>
            </w:pPr>
            <w:r/>
            <w:r>
              <w:rPr>
                <w:sz w:val="14"/>
              </w:rPr>
              <w:t>37.6</w:t>
            </w:r>
          </w:p>
        </w:tc>
        <w:tc>
          <w:tcPr>
            <w:tcW w:type="dxa" w:w="662"/>
            <w:shd w:val="clear" w:fill="F6F7F9"/>
          </w:tcPr>
          <w:p>
            <w:pPr>
              <w:spacing w:after="0" w:before="0"/>
              <w:jc w:val="right"/>
            </w:pPr>
            <w:r/>
            <w:r>
              <w:rPr>
                <w:sz w:val="14"/>
              </w:rPr>
              <w:t>21.1</w:t>
            </w:r>
          </w:p>
        </w:tc>
      </w:tr>
      <w:tr>
        <w:trPr>
          <w:cantSplit/>
        </w:trPr>
        <w:tc>
          <w:tcPr>
            <w:tcW w:type="dxa" w:w="662"/>
          </w:tcPr>
          <w:p>
            <w:pPr>
              <w:spacing w:after="0" w:before="0"/>
            </w:pPr>
            <w:r/>
            <w:r>
              <w:rPr>
                <w:b/>
                <w:sz w:val="14"/>
              </w:rPr>
              <w:t>2014</w:t>
            </w:r>
          </w:p>
        </w:tc>
        <w:tc>
          <w:tcPr>
            <w:tcW w:type="dxa" w:w="662"/>
          </w:tcPr>
          <w:p>
            <w:pPr>
              <w:spacing w:after="0" w:before="0"/>
              <w:jc w:val="right"/>
            </w:pPr>
            <w:r/>
            <w:r>
              <w:rPr>
                <w:sz w:val="14"/>
              </w:rPr>
              <w:t>6.5</w:t>
            </w:r>
          </w:p>
        </w:tc>
        <w:tc>
          <w:tcPr>
            <w:tcW w:type="dxa" w:w="662"/>
          </w:tcPr>
          <w:p>
            <w:pPr>
              <w:spacing w:after="0" w:before="0"/>
              <w:jc w:val="right"/>
            </w:pPr>
            <w:r/>
            <w:r>
              <w:rPr>
                <w:sz w:val="14"/>
              </w:rPr>
              <w:t>7.4</w:t>
            </w:r>
          </w:p>
        </w:tc>
        <w:tc>
          <w:tcPr>
            <w:tcW w:type="dxa" w:w="662"/>
          </w:tcPr>
          <w:p>
            <w:pPr>
              <w:spacing w:after="0" w:before="0"/>
              <w:jc w:val="right"/>
            </w:pPr>
            <w:r/>
            <w:r>
              <w:rPr>
                <w:sz w:val="14"/>
              </w:rPr>
              <w:t>0.6</w:t>
            </w:r>
          </w:p>
        </w:tc>
        <w:tc>
          <w:tcPr>
            <w:tcW w:type="dxa" w:w="662"/>
          </w:tcPr>
          <w:p>
            <w:pPr>
              <w:spacing w:after="0" w:before="0"/>
              <w:jc w:val="right"/>
            </w:pPr>
            <w:r/>
            <w:r>
              <w:rPr>
                <w:sz w:val="14"/>
              </w:rPr>
              <w:t>2.2</w:t>
            </w:r>
          </w:p>
        </w:tc>
        <w:tc>
          <w:tcPr>
            <w:tcW w:type="dxa" w:w="662"/>
          </w:tcPr>
          <w:p>
            <w:pPr>
              <w:spacing w:after="0" w:before="0"/>
              <w:jc w:val="right"/>
            </w:pPr>
            <w:r/>
            <w:r>
              <w:rPr>
                <w:sz w:val="14"/>
              </w:rPr>
              <w:t>1.6</w:t>
            </w:r>
          </w:p>
        </w:tc>
        <w:tc>
          <w:tcPr>
            <w:tcW w:type="dxa" w:w="662"/>
          </w:tcPr>
          <w:p>
            <w:pPr>
              <w:spacing w:after="0" w:before="0"/>
              <w:jc w:val="right"/>
            </w:pPr>
            <w:r/>
            <w:r>
              <w:rPr>
                <w:sz w:val="14"/>
              </w:rPr>
              <w:t>1.0</w:t>
            </w:r>
          </w:p>
        </w:tc>
        <w:tc>
          <w:tcPr>
            <w:tcW w:type="dxa" w:w="662"/>
          </w:tcPr>
          <w:p>
            <w:pPr>
              <w:spacing w:after="0" w:before="0"/>
              <w:jc w:val="right"/>
            </w:pPr>
            <w:r/>
            <w:r>
              <w:rPr>
                <w:sz w:val="14"/>
              </w:rPr>
              <w:t>-</w:t>
            </w:r>
          </w:p>
        </w:tc>
        <w:tc>
          <w:tcPr>
            <w:tcW w:type="dxa" w:w="662"/>
          </w:tcPr>
          <w:p>
            <w:pPr>
              <w:spacing w:after="0" w:before="0"/>
              <w:jc w:val="right"/>
            </w:pPr>
            <w:r/>
            <w:r>
              <w:rPr>
                <w:sz w:val="14"/>
              </w:rPr>
              <w:t>-</w:t>
            </w:r>
          </w:p>
        </w:tc>
        <w:tc>
          <w:tcPr>
            <w:tcW w:type="dxa" w:w="662"/>
          </w:tcPr>
          <w:p>
            <w:pPr>
              <w:spacing w:after="0" w:before="0"/>
              <w:jc w:val="right"/>
            </w:pPr>
            <w:r/>
            <w:r>
              <w:rPr>
                <w:sz w:val="14"/>
              </w:rPr>
              <w:t>-</w:t>
            </w:r>
          </w:p>
        </w:tc>
        <w:tc>
          <w:tcPr>
            <w:tcW w:type="dxa" w:w="662"/>
          </w:tcPr>
          <w:p>
            <w:pPr>
              <w:spacing w:after="0" w:before="0"/>
              <w:jc w:val="right"/>
            </w:pPr>
            <w:r/>
            <w:r>
              <w:rPr>
                <w:sz w:val="14"/>
              </w:rPr>
              <w:t>-</w:t>
            </w:r>
          </w:p>
        </w:tc>
        <w:tc>
          <w:tcPr>
            <w:tcW w:type="dxa" w:w="662"/>
          </w:tcPr>
          <w:p>
            <w:pPr>
              <w:spacing w:after="0" w:before="0"/>
              <w:jc w:val="right"/>
            </w:pPr>
            <w:r/>
            <w:r>
              <w:rPr>
                <w:sz w:val="14"/>
              </w:rPr>
              <w:t>-</w:t>
            </w:r>
          </w:p>
        </w:tc>
        <w:tc>
          <w:tcPr>
            <w:tcW w:type="dxa" w:w="662"/>
          </w:tcPr>
          <w:p>
            <w:pPr>
              <w:spacing w:after="0" w:before="0"/>
              <w:jc w:val="right"/>
            </w:pPr>
            <w:r/>
            <w:r>
              <w:rPr>
                <w:sz w:val="14"/>
              </w:rPr>
              <w:t>-</w:t>
            </w:r>
          </w:p>
        </w:tc>
        <w:tc>
          <w:tcPr>
            <w:tcW w:type="dxa" w:w="662"/>
          </w:tcPr>
          <w:p>
            <w:pPr>
              <w:spacing w:after="0" w:before="0"/>
              <w:jc w:val="right"/>
            </w:pPr>
            <w:r/>
            <w:r>
              <w:rPr>
                <w:sz w:val="14"/>
              </w:rPr>
              <w:t>20.7</w:t>
            </w:r>
          </w:p>
        </w:tc>
        <w:tc>
          <w:tcPr>
            <w:tcW w:type="dxa" w:w="662"/>
          </w:tcPr>
          <w:p>
            <w:pPr>
              <w:spacing w:after="0" w:before="0"/>
              <w:jc w:val="right"/>
            </w:pPr>
            <w:r/>
            <w:r>
              <w:rPr>
                <w:sz w:val="14"/>
              </w:rPr>
              <w:t>5.0</w:t>
            </w:r>
          </w:p>
        </w:tc>
      </w:tr>
      <w:tr>
        <w:trPr>
          <w:cantSplit/>
        </w:trPr>
        <w:tc>
          <w:tcPr>
            <w:tcW w:type="dxa" w:w="662"/>
            <w:shd w:val="clear" w:fill="F6F7F9"/>
          </w:tcPr>
          <w:p>
            <w:pPr>
              <w:spacing w:after="0" w:before="0"/>
            </w:pPr>
            <w:r/>
            <w:r>
              <w:rPr>
                <w:b/>
                <w:sz w:val="14"/>
              </w:rPr>
              <w:t>2015</w:t>
            </w:r>
          </w:p>
        </w:tc>
        <w:tc>
          <w:tcPr>
            <w:tcW w:type="dxa" w:w="662"/>
            <w:shd w:val="clear" w:fill="F6F7F9"/>
          </w:tcPr>
          <w:p>
            <w:pPr>
              <w:spacing w:after="0" w:before="0"/>
              <w:jc w:val="right"/>
            </w:pPr>
            <w:r/>
            <w:r>
              <w:rPr>
                <w:sz w:val="14"/>
              </w:rPr>
              <w:t>-</w:t>
            </w:r>
          </w:p>
        </w:tc>
        <w:tc>
          <w:tcPr>
            <w:tcW w:type="dxa" w:w="662"/>
            <w:shd w:val="clear" w:fill="F6F7F9"/>
          </w:tcPr>
          <w:p>
            <w:pPr>
              <w:spacing w:after="0" w:before="0"/>
              <w:jc w:val="right"/>
            </w:pPr>
            <w:r/>
            <w:r>
              <w:rPr>
                <w:sz w:val="14"/>
              </w:rPr>
              <w:t>0.3</w:t>
            </w:r>
          </w:p>
        </w:tc>
        <w:tc>
          <w:tcPr>
            <w:tcW w:type="dxa" w:w="662"/>
            <w:shd w:val="clear" w:fill="F6F7F9"/>
          </w:tcPr>
          <w:p>
            <w:pPr>
              <w:spacing w:after="0" w:before="0"/>
              <w:jc w:val="right"/>
            </w:pPr>
            <w:r/>
            <w:r>
              <w:rPr>
                <w:sz w:val="14"/>
              </w:rPr>
              <w:t>2.2</w:t>
            </w:r>
          </w:p>
        </w:tc>
        <w:tc>
          <w:tcPr>
            <w:tcW w:type="dxa" w:w="662"/>
            <w:shd w:val="clear" w:fill="F6F7F9"/>
          </w:tcPr>
          <w:p>
            <w:pPr>
              <w:spacing w:after="0" w:before="0"/>
              <w:jc w:val="right"/>
            </w:pPr>
            <w:r/>
            <w:r>
              <w:rPr>
                <w:sz w:val="14"/>
              </w:rPr>
              <w:t>1.5</w:t>
            </w:r>
          </w:p>
        </w:tc>
        <w:tc>
          <w:tcPr>
            <w:tcW w:type="dxa" w:w="662"/>
            <w:shd w:val="clear" w:fill="F6F7F9"/>
          </w:tcPr>
          <w:p>
            <w:pPr>
              <w:spacing w:after="0" w:before="0"/>
              <w:jc w:val="right"/>
            </w:pPr>
            <w:r/>
            <w:r>
              <w:rPr>
                <w:sz w:val="14"/>
              </w:rPr>
              <w:t>2.3</w:t>
            </w:r>
          </w:p>
        </w:tc>
        <w:tc>
          <w:tcPr>
            <w:tcW w:type="dxa" w:w="662"/>
            <w:shd w:val="clear" w:fill="F6F7F9"/>
          </w:tcPr>
          <w:p>
            <w:pPr>
              <w:spacing w:after="0" w:before="0"/>
              <w:jc w:val="right"/>
            </w:pPr>
            <w:r/>
            <w:r>
              <w:rPr>
                <w:sz w:val="14"/>
              </w:rPr>
              <w:t>(2.8)</w:t>
            </w:r>
          </w:p>
        </w:tc>
        <w:tc>
          <w:tcPr>
            <w:tcW w:type="dxa" w:w="662"/>
            <w:shd w:val="clear" w:fill="F6F7F9"/>
          </w:tcPr>
          <w:p>
            <w:pPr>
              <w:spacing w:after="0" w:before="0"/>
              <w:jc w:val="right"/>
            </w:pPr>
            <w:r/>
            <w:r>
              <w:rPr>
                <w:sz w:val="14"/>
              </w:rPr>
              <w:t>1.7</w:t>
            </w:r>
          </w:p>
        </w:tc>
        <w:tc>
          <w:tcPr>
            <w:tcW w:type="dxa" w:w="662"/>
            <w:shd w:val="clear" w:fill="F6F7F9"/>
          </w:tcPr>
          <w:p>
            <w:pPr>
              <w:spacing w:after="0" w:before="0"/>
              <w:jc w:val="right"/>
            </w:pPr>
            <w:r/>
            <w:r>
              <w:rPr>
                <w:sz w:val="14"/>
              </w:rPr>
              <w:t>(3.1)</w:t>
            </w:r>
          </w:p>
        </w:tc>
        <w:tc>
          <w:tcPr>
            <w:tcW w:type="dxa" w:w="662"/>
            <w:shd w:val="clear" w:fill="F6F7F9"/>
          </w:tcPr>
          <w:p>
            <w:pPr>
              <w:spacing w:after="0" w:before="0"/>
              <w:jc w:val="right"/>
            </w:pPr>
            <w:r/>
            <w:r>
              <w:rPr>
                <w:sz w:val="14"/>
              </w:rPr>
              <w:t>(0.6)</w:t>
            </w:r>
          </w:p>
        </w:tc>
        <w:tc>
          <w:tcPr>
            <w:tcW w:type="dxa" w:w="662"/>
            <w:shd w:val="clear" w:fill="F6F7F9"/>
          </w:tcPr>
          <w:p>
            <w:pPr>
              <w:spacing w:after="0" w:before="0"/>
              <w:jc w:val="right"/>
            </w:pPr>
            <w:r/>
            <w:r>
              <w:rPr>
                <w:sz w:val="14"/>
              </w:rPr>
              <w:t>0.8</w:t>
            </w:r>
          </w:p>
        </w:tc>
        <w:tc>
          <w:tcPr>
            <w:tcW w:type="dxa" w:w="662"/>
            <w:shd w:val="clear" w:fill="F6F7F9"/>
          </w:tcPr>
          <w:p>
            <w:pPr>
              <w:spacing w:after="0" w:before="0"/>
              <w:jc w:val="right"/>
            </w:pPr>
            <w:r/>
            <w:r>
              <w:rPr>
                <w:sz w:val="14"/>
              </w:rPr>
              <w:t>5.0</w:t>
            </w:r>
          </w:p>
        </w:tc>
        <w:tc>
          <w:tcPr>
            <w:tcW w:type="dxa" w:w="662"/>
            <w:shd w:val="clear" w:fill="F6F7F9"/>
          </w:tcPr>
          <w:p>
            <w:pPr>
              <w:spacing w:after="0" w:before="0"/>
              <w:jc w:val="right"/>
            </w:pPr>
            <w:r/>
            <w:r>
              <w:rPr>
                <w:sz w:val="14"/>
              </w:rPr>
              <w:t>2.0</w:t>
            </w:r>
          </w:p>
        </w:tc>
        <w:tc>
          <w:tcPr>
            <w:tcW w:type="dxa" w:w="662"/>
            <w:shd w:val="clear" w:fill="F6F7F9"/>
          </w:tcPr>
          <w:p>
            <w:pPr>
              <w:spacing w:after="0" w:before="0"/>
              <w:jc w:val="right"/>
            </w:pPr>
            <w:r/>
            <w:r>
              <w:rPr>
                <w:sz w:val="14"/>
              </w:rPr>
              <w:t>9.3</w:t>
            </w:r>
          </w:p>
        </w:tc>
        <w:tc>
          <w:tcPr>
            <w:tcW w:type="dxa" w:w="662"/>
            <w:shd w:val="clear" w:fill="F6F7F9"/>
          </w:tcPr>
          <w:p>
            <w:pPr>
              <w:spacing w:after="0" w:before="0"/>
              <w:jc w:val="right"/>
            </w:pPr>
            <w:r/>
            <w:r>
              <w:rPr>
                <w:sz w:val="14"/>
              </w:rPr>
              <w:t>(2.5)</w:t>
            </w:r>
          </w:p>
        </w:tc>
      </w:tr>
      <w:tr>
        <w:trPr>
          <w:cantSplit/>
        </w:trPr>
        <w:tc>
          <w:tcPr>
            <w:tcW w:type="dxa" w:w="662"/>
          </w:tcPr>
          <w:p>
            <w:pPr>
              <w:spacing w:after="0" w:before="0"/>
            </w:pPr>
            <w:r/>
            <w:r>
              <w:rPr>
                <w:b/>
                <w:sz w:val="14"/>
              </w:rPr>
              <w:t>2016</w:t>
            </w:r>
          </w:p>
        </w:tc>
        <w:tc>
          <w:tcPr>
            <w:tcW w:type="dxa" w:w="662"/>
          </w:tcPr>
          <w:p>
            <w:pPr>
              <w:spacing w:after="0" w:before="0"/>
              <w:jc w:val="right"/>
            </w:pPr>
            <w:r/>
            <w:r>
              <w:rPr>
                <w:sz w:val="14"/>
              </w:rPr>
              <w:t>(4.8)</w:t>
            </w:r>
          </w:p>
        </w:tc>
        <w:tc>
          <w:tcPr>
            <w:tcW w:type="dxa" w:w="662"/>
          </w:tcPr>
          <w:p>
            <w:pPr>
              <w:spacing w:after="0" w:before="0"/>
              <w:jc w:val="right"/>
            </w:pPr>
            <w:r/>
            <w:r>
              <w:rPr>
                <w:sz w:val="14"/>
              </w:rPr>
              <w:t>1.3</w:t>
            </w:r>
          </w:p>
        </w:tc>
        <w:tc>
          <w:tcPr>
            <w:tcW w:type="dxa" w:w="662"/>
          </w:tcPr>
          <w:p>
            <w:pPr>
              <w:spacing w:after="0" w:before="0"/>
              <w:jc w:val="right"/>
            </w:pPr>
            <w:r/>
            <w:r>
              <w:rPr>
                <w:sz w:val="14"/>
              </w:rPr>
              <w:t>0.2</w:t>
            </w:r>
          </w:p>
        </w:tc>
        <w:tc>
          <w:tcPr>
            <w:tcW w:type="dxa" w:w="662"/>
          </w:tcPr>
          <w:p>
            <w:pPr>
              <w:spacing w:after="0" w:before="0"/>
              <w:jc w:val="right"/>
            </w:pPr>
            <w:r/>
            <w:r>
              <w:rPr>
                <w:sz w:val="14"/>
              </w:rPr>
              <w:t>4.4</w:t>
            </w:r>
          </w:p>
        </w:tc>
        <w:tc>
          <w:tcPr>
            <w:tcW w:type="dxa" w:w="662"/>
          </w:tcPr>
          <w:p>
            <w:pPr>
              <w:spacing w:after="0" w:before="0"/>
              <w:jc w:val="right"/>
            </w:pPr>
            <w:r/>
            <w:r>
              <w:rPr>
                <w:sz w:val="14"/>
              </w:rPr>
              <w:t>2.7</w:t>
            </w:r>
          </w:p>
        </w:tc>
        <w:tc>
          <w:tcPr>
            <w:tcW w:type="dxa" w:w="662"/>
          </w:tcPr>
          <w:p>
            <w:pPr>
              <w:spacing w:after="0" w:before="0"/>
              <w:jc w:val="right"/>
            </w:pPr>
            <w:r/>
            <w:r>
              <w:rPr>
                <w:sz w:val="14"/>
              </w:rPr>
              <w:t>(2.5)</w:t>
            </w:r>
          </w:p>
        </w:tc>
        <w:tc>
          <w:tcPr>
            <w:tcW w:type="dxa" w:w="662"/>
          </w:tcPr>
          <w:p>
            <w:pPr>
              <w:spacing w:after="0" w:before="0"/>
              <w:jc w:val="right"/>
            </w:pPr>
            <w:r/>
            <w:r>
              <w:rPr>
                <w:sz w:val="14"/>
              </w:rPr>
              <w:t>3.2</w:t>
            </w:r>
          </w:p>
        </w:tc>
        <w:tc>
          <w:tcPr>
            <w:tcW w:type="dxa" w:w="662"/>
          </w:tcPr>
          <w:p>
            <w:pPr>
              <w:spacing w:after="0" w:before="0"/>
              <w:jc w:val="right"/>
            </w:pPr>
            <w:r/>
            <w:r>
              <w:rPr>
                <w:sz w:val="14"/>
              </w:rPr>
              <w:t>7.5</w:t>
            </w:r>
          </w:p>
        </w:tc>
        <w:tc>
          <w:tcPr>
            <w:tcW w:type="dxa" w:w="662"/>
          </w:tcPr>
          <w:p>
            <w:pPr>
              <w:spacing w:after="0" w:before="0"/>
              <w:jc w:val="right"/>
            </w:pPr>
            <w:r/>
            <w:r>
              <w:rPr>
                <w:sz w:val="14"/>
              </w:rPr>
              <w:t>3.1</w:t>
            </w:r>
          </w:p>
        </w:tc>
        <w:tc>
          <w:tcPr>
            <w:tcW w:type="dxa" w:w="662"/>
          </w:tcPr>
          <w:p>
            <w:pPr>
              <w:spacing w:after="0" w:before="0"/>
              <w:jc w:val="right"/>
            </w:pPr>
            <w:r/>
            <w:r>
              <w:rPr>
                <w:sz w:val="14"/>
              </w:rPr>
              <w:t>1.1</w:t>
            </w:r>
          </w:p>
        </w:tc>
        <w:tc>
          <w:tcPr>
            <w:tcW w:type="dxa" w:w="662"/>
          </w:tcPr>
          <w:p>
            <w:pPr>
              <w:spacing w:after="0" w:before="0"/>
              <w:jc w:val="right"/>
            </w:pPr>
            <w:r/>
            <w:r>
              <w:rPr>
                <w:sz w:val="14"/>
              </w:rPr>
              <w:t>4.2</w:t>
            </w:r>
          </w:p>
        </w:tc>
        <w:tc>
          <w:tcPr>
            <w:tcW w:type="dxa" w:w="662"/>
          </w:tcPr>
          <w:p>
            <w:pPr>
              <w:spacing w:after="0" w:before="0"/>
              <w:jc w:val="right"/>
            </w:pPr>
            <w:r/>
            <w:r>
              <w:rPr>
                <w:sz w:val="14"/>
              </w:rPr>
              <w:t>4.1</w:t>
            </w:r>
          </w:p>
        </w:tc>
        <w:tc>
          <w:tcPr>
            <w:tcW w:type="dxa" w:w="662"/>
          </w:tcPr>
          <w:p>
            <w:pPr>
              <w:spacing w:after="0" w:before="0"/>
              <w:jc w:val="right"/>
            </w:pPr>
            <w:r/>
            <w:r>
              <w:rPr>
                <w:sz w:val="14"/>
              </w:rPr>
              <w:t>26.6</w:t>
            </w:r>
          </w:p>
        </w:tc>
        <w:tc>
          <w:tcPr>
            <w:tcW w:type="dxa" w:w="662"/>
          </w:tcPr>
          <w:p>
            <w:pPr>
              <w:spacing w:after="0" w:before="0"/>
              <w:jc w:val="right"/>
            </w:pPr>
            <w:r/>
            <w:r>
              <w:rPr>
                <w:sz w:val="14"/>
              </w:rPr>
              <w:t>6.2</w:t>
            </w:r>
          </w:p>
        </w:tc>
      </w:tr>
      <w:tr>
        <w:trPr>
          <w:cantSplit/>
        </w:trPr>
        <w:tc>
          <w:tcPr>
            <w:tcW w:type="dxa" w:w="662"/>
            <w:shd w:val="clear" w:fill="F6F7F9"/>
          </w:tcPr>
          <w:p>
            <w:pPr>
              <w:spacing w:after="0" w:before="0"/>
            </w:pPr>
            <w:r/>
            <w:r>
              <w:rPr>
                <w:b/>
                <w:sz w:val="14"/>
              </w:rPr>
              <w:t>2017</w:t>
            </w:r>
          </w:p>
        </w:tc>
        <w:tc>
          <w:tcPr>
            <w:tcW w:type="dxa" w:w="662"/>
            <w:shd w:val="clear" w:fill="F6F7F9"/>
          </w:tcPr>
          <w:p>
            <w:pPr>
              <w:spacing w:after="0" w:before="0"/>
              <w:jc w:val="right"/>
            </w:pPr>
            <w:r/>
            <w:r>
              <w:rPr>
                <w:sz w:val="14"/>
              </w:rPr>
              <w:t>5.4</w:t>
            </w:r>
          </w:p>
        </w:tc>
        <w:tc>
          <w:tcPr>
            <w:tcW w:type="dxa" w:w="662"/>
            <w:shd w:val="clear" w:fill="F6F7F9"/>
          </w:tcPr>
          <w:p>
            <w:pPr>
              <w:spacing w:after="0" w:before="0"/>
              <w:jc w:val="right"/>
            </w:pPr>
            <w:r/>
            <w:r>
              <w:rPr>
                <w:sz w:val="14"/>
              </w:rPr>
              <w:t>4.5</w:t>
            </w:r>
          </w:p>
        </w:tc>
        <w:tc>
          <w:tcPr>
            <w:tcW w:type="dxa" w:w="662"/>
            <w:shd w:val="clear" w:fill="F6F7F9"/>
          </w:tcPr>
          <w:p>
            <w:pPr>
              <w:spacing w:after="0" w:before="0"/>
              <w:jc w:val="right"/>
            </w:pPr>
            <w:r/>
            <w:r>
              <w:rPr>
                <w:sz w:val="14"/>
              </w:rPr>
              <w:t>0.5</w:t>
            </w:r>
          </w:p>
        </w:tc>
        <w:tc>
          <w:tcPr>
            <w:tcW w:type="dxa" w:w="662"/>
            <w:shd w:val="clear" w:fill="F6F7F9"/>
          </w:tcPr>
          <w:p>
            <w:pPr>
              <w:spacing w:after="0" w:before="0"/>
              <w:jc w:val="right"/>
            </w:pPr>
            <w:r/>
            <w:r>
              <w:rPr>
                <w:sz w:val="14"/>
              </w:rPr>
              <w:t>8.5</w:t>
            </w:r>
          </w:p>
        </w:tc>
        <w:tc>
          <w:tcPr>
            <w:tcW w:type="dxa" w:w="662"/>
            <w:shd w:val="clear" w:fill="F6F7F9"/>
          </w:tcPr>
          <w:p>
            <w:pPr>
              <w:spacing w:after="0" w:before="0"/>
              <w:jc w:val="right"/>
            </w:pPr>
            <w:r/>
            <w:r>
              <w:rPr>
                <w:sz w:val="14"/>
              </w:rPr>
              <w:t>(3.1)</w:t>
            </w:r>
          </w:p>
        </w:tc>
        <w:tc>
          <w:tcPr>
            <w:tcW w:type="dxa" w:w="662"/>
            <w:shd w:val="clear" w:fill="F6F7F9"/>
          </w:tcPr>
          <w:p>
            <w:pPr>
              <w:spacing w:after="0" w:before="0"/>
              <w:jc w:val="right"/>
            </w:pPr>
            <w:r/>
            <w:r>
              <w:rPr>
                <w:sz w:val="14"/>
              </w:rPr>
              <w:t>(1.0)</w:t>
            </w:r>
          </w:p>
        </w:tc>
        <w:tc>
          <w:tcPr>
            <w:tcW w:type="dxa" w:w="662"/>
            <w:shd w:val="clear" w:fill="F6F7F9"/>
          </w:tcPr>
          <w:p>
            <w:pPr>
              <w:spacing w:after="0" w:before="0"/>
              <w:jc w:val="right"/>
            </w:pPr>
            <w:r/>
            <w:r>
              <w:rPr>
                <w:sz w:val="14"/>
              </w:rPr>
              <w:t>(0.9)</w:t>
            </w:r>
          </w:p>
        </w:tc>
        <w:tc>
          <w:tcPr>
            <w:tcW w:type="dxa" w:w="662"/>
            <w:shd w:val="clear" w:fill="F6F7F9"/>
          </w:tcPr>
          <w:p>
            <w:pPr>
              <w:spacing w:after="0" w:before="0"/>
              <w:jc w:val="right"/>
            </w:pPr>
            <w:r/>
            <w:r>
              <w:rPr>
                <w:sz w:val="14"/>
              </w:rPr>
              <w:t>(3.9)</w:t>
            </w:r>
          </w:p>
        </w:tc>
        <w:tc>
          <w:tcPr>
            <w:tcW w:type="dxa" w:w="662"/>
            <w:shd w:val="clear" w:fill="F6F7F9"/>
          </w:tcPr>
          <w:p>
            <w:pPr>
              <w:spacing w:after="0" w:before="0"/>
              <w:jc w:val="right"/>
            </w:pPr>
            <w:r/>
            <w:r>
              <w:rPr>
                <w:sz w:val="14"/>
              </w:rPr>
              <w:t>2.2</w:t>
            </w:r>
          </w:p>
        </w:tc>
        <w:tc>
          <w:tcPr>
            <w:tcW w:type="dxa" w:w="662"/>
            <w:shd w:val="clear" w:fill="F6F7F9"/>
          </w:tcPr>
          <w:p>
            <w:pPr>
              <w:spacing w:after="0" w:before="0"/>
              <w:jc w:val="right"/>
            </w:pPr>
            <w:r/>
            <w:r>
              <w:rPr>
                <w:sz w:val="14"/>
              </w:rPr>
              <w:t>(3.7)</w:t>
            </w:r>
          </w:p>
        </w:tc>
        <w:tc>
          <w:tcPr>
            <w:tcW w:type="dxa" w:w="662"/>
            <w:shd w:val="clear" w:fill="F6F7F9"/>
          </w:tcPr>
          <w:p>
            <w:pPr>
              <w:spacing w:after="0" w:before="0"/>
              <w:jc w:val="right"/>
            </w:pPr>
            <w:r/>
            <w:r>
              <w:rPr>
                <w:sz w:val="14"/>
              </w:rPr>
              <w:t>(0.6)</w:t>
            </w:r>
          </w:p>
        </w:tc>
        <w:tc>
          <w:tcPr>
            <w:tcW w:type="dxa" w:w="662"/>
            <w:shd w:val="clear" w:fill="F6F7F9"/>
          </w:tcPr>
          <w:p>
            <w:pPr>
              <w:spacing w:after="0" w:before="0"/>
              <w:jc w:val="right"/>
            </w:pPr>
            <w:r/>
            <w:r>
              <w:rPr>
                <w:sz w:val="14"/>
              </w:rPr>
              <w:t>(2.7)</w:t>
            </w:r>
          </w:p>
        </w:tc>
        <w:tc>
          <w:tcPr>
            <w:tcW w:type="dxa" w:w="662"/>
            <w:shd w:val="clear" w:fill="F6F7F9"/>
          </w:tcPr>
          <w:p>
            <w:pPr>
              <w:spacing w:after="0" w:before="0"/>
              <w:jc w:val="right"/>
            </w:pPr>
            <w:r/>
            <w:r>
              <w:rPr>
                <w:sz w:val="14"/>
              </w:rPr>
              <w:t>4.4</w:t>
            </w:r>
          </w:p>
        </w:tc>
        <w:tc>
          <w:tcPr>
            <w:tcW w:type="dxa" w:w="662"/>
            <w:shd w:val="clear" w:fill="F6F7F9"/>
          </w:tcPr>
          <w:p>
            <w:pPr>
              <w:spacing w:after="0" w:before="0"/>
              <w:jc w:val="right"/>
            </w:pPr>
            <w:r/>
            <w:r>
              <w:rPr>
                <w:sz w:val="14"/>
              </w:rPr>
              <w:t>21.7</w:t>
            </w:r>
          </w:p>
        </w:tc>
      </w:tr>
      <w:tr>
        <w:trPr>
          <w:cantSplit/>
        </w:trPr>
        <w:tc>
          <w:tcPr>
            <w:tcW w:type="dxa" w:w="662"/>
          </w:tcPr>
          <w:p>
            <w:pPr>
              <w:spacing w:after="0" w:before="0"/>
            </w:pPr>
            <w:r/>
            <w:r>
              <w:rPr>
                <w:b/>
                <w:sz w:val="14"/>
              </w:rPr>
              <w:t>2018</w:t>
            </w:r>
          </w:p>
        </w:tc>
        <w:tc>
          <w:tcPr>
            <w:tcW w:type="dxa" w:w="662"/>
          </w:tcPr>
          <w:p>
            <w:pPr>
              <w:spacing w:after="0" w:before="0"/>
              <w:jc w:val="right"/>
            </w:pPr>
            <w:r/>
            <w:r>
              <w:rPr>
                <w:sz w:val="14"/>
              </w:rPr>
              <w:t>4.5</w:t>
            </w:r>
          </w:p>
        </w:tc>
        <w:tc>
          <w:tcPr>
            <w:tcW w:type="dxa" w:w="662"/>
          </w:tcPr>
          <w:p>
            <w:pPr>
              <w:spacing w:after="0" w:before="0"/>
              <w:jc w:val="right"/>
            </w:pPr>
            <w:r/>
            <w:r>
              <w:rPr>
                <w:sz w:val="14"/>
              </w:rPr>
              <w:t>(0.1)</w:t>
            </w:r>
          </w:p>
        </w:tc>
        <w:tc>
          <w:tcPr>
            <w:tcW w:type="dxa" w:w="662"/>
          </w:tcPr>
          <w:p>
            <w:pPr>
              <w:spacing w:after="0" w:before="0"/>
              <w:jc w:val="right"/>
            </w:pPr>
            <w:r/>
            <w:r>
              <w:rPr>
                <w:sz w:val="14"/>
              </w:rPr>
              <w:t>(1.6)</w:t>
            </w:r>
          </w:p>
        </w:tc>
        <w:tc>
          <w:tcPr>
            <w:tcW w:type="dxa" w:w="662"/>
          </w:tcPr>
          <w:p>
            <w:pPr>
              <w:spacing w:after="0" w:before="0"/>
              <w:jc w:val="right"/>
            </w:pPr>
            <w:r/>
            <w:r>
              <w:rPr>
                <w:sz w:val="14"/>
              </w:rPr>
              <w:t>1.0</w:t>
            </w:r>
          </w:p>
        </w:tc>
        <w:tc>
          <w:tcPr>
            <w:tcW w:type="dxa" w:w="662"/>
          </w:tcPr>
          <w:p>
            <w:pPr>
              <w:spacing w:after="0" w:before="0"/>
              <w:jc w:val="right"/>
            </w:pPr>
            <w:r/>
            <w:r>
              <w:rPr>
                <w:sz w:val="14"/>
              </w:rPr>
              <w:t>3.7</w:t>
            </w:r>
          </w:p>
        </w:tc>
        <w:tc>
          <w:tcPr>
            <w:tcW w:type="dxa" w:w="662"/>
          </w:tcPr>
          <w:p>
            <w:pPr>
              <w:spacing w:after="0" w:before="0"/>
              <w:jc w:val="right"/>
            </w:pPr>
            <w:r/>
            <w:r>
              <w:rPr>
                <w:sz w:val="14"/>
              </w:rPr>
              <w:t>(0.5)</w:t>
            </w:r>
          </w:p>
        </w:tc>
        <w:tc>
          <w:tcPr>
            <w:tcW w:type="dxa" w:w="662"/>
          </w:tcPr>
          <w:p>
            <w:pPr>
              <w:spacing w:after="0" w:before="0"/>
              <w:jc w:val="right"/>
            </w:pPr>
            <w:r/>
            <w:r>
              <w:rPr>
                <w:sz w:val="14"/>
              </w:rPr>
              <w:t>0.4</w:t>
            </w:r>
          </w:p>
        </w:tc>
        <w:tc>
          <w:tcPr>
            <w:tcW w:type="dxa" w:w="662"/>
          </w:tcPr>
          <w:p>
            <w:pPr>
              <w:spacing w:after="0" w:before="0"/>
              <w:jc w:val="right"/>
            </w:pPr>
            <w:r/>
            <w:r>
              <w:rPr>
                <w:sz w:val="14"/>
              </w:rPr>
              <w:t>(0.8)</w:t>
            </w:r>
          </w:p>
        </w:tc>
        <w:tc>
          <w:tcPr>
            <w:tcW w:type="dxa" w:w="662"/>
          </w:tcPr>
          <w:p>
            <w:pPr>
              <w:spacing w:after="0" w:before="0"/>
              <w:jc w:val="right"/>
            </w:pPr>
            <w:r/>
            <w:r>
              <w:rPr>
                <w:sz w:val="14"/>
              </w:rPr>
              <w:t>(1.9)</w:t>
            </w:r>
          </w:p>
        </w:tc>
        <w:tc>
          <w:tcPr>
            <w:tcW w:type="dxa" w:w="662"/>
          </w:tcPr>
          <w:p>
            <w:pPr>
              <w:spacing w:after="0" w:before="0"/>
              <w:jc w:val="right"/>
            </w:pPr>
            <w:r/>
            <w:r>
              <w:rPr>
                <w:sz w:val="14"/>
              </w:rPr>
              <w:t>(3.8)</w:t>
            </w:r>
          </w:p>
        </w:tc>
        <w:tc>
          <w:tcPr>
            <w:tcW w:type="dxa" w:w="662"/>
          </w:tcPr>
          <w:p>
            <w:pPr>
              <w:spacing w:after="0" w:before="0"/>
              <w:jc w:val="right"/>
            </w:pPr>
            <w:r/>
            <w:r>
              <w:rPr>
                <w:sz w:val="14"/>
              </w:rPr>
              <w:t>(6.0)</w:t>
            </w:r>
          </w:p>
        </w:tc>
        <w:tc>
          <w:tcPr>
            <w:tcW w:type="dxa" w:w="662"/>
          </w:tcPr>
          <w:p>
            <w:pPr>
              <w:spacing w:after="0" w:before="0"/>
              <w:jc w:val="right"/>
            </w:pPr>
            <w:r/>
            <w:r>
              <w:rPr>
                <w:sz w:val="14"/>
              </w:rPr>
              <w:t>(7.7)</w:t>
            </w:r>
          </w:p>
        </w:tc>
        <w:tc>
          <w:tcPr>
            <w:tcW w:type="dxa" w:w="662"/>
          </w:tcPr>
          <w:p>
            <w:pPr>
              <w:spacing w:after="0" w:before="0"/>
              <w:jc w:val="right"/>
            </w:pPr>
            <w:r/>
            <w:r>
              <w:rPr>
                <w:sz w:val="14"/>
              </w:rPr>
              <w:t>(12.8)</w:t>
            </w:r>
          </w:p>
        </w:tc>
        <w:tc>
          <w:tcPr>
            <w:tcW w:type="dxa" w:w="662"/>
          </w:tcPr>
          <w:p>
            <w:pPr>
              <w:spacing w:after="0" w:before="0"/>
              <w:jc w:val="right"/>
            </w:pPr>
            <w:r/>
            <w:r>
              <w:rPr>
                <w:sz w:val="14"/>
              </w:rPr>
              <w:t>(11.1)</w:t>
            </w:r>
          </w:p>
        </w:tc>
      </w:tr>
      <w:tr>
        <w:trPr>
          <w:cantSplit/>
        </w:trPr>
        <w:tc>
          <w:tcPr>
            <w:tcW w:type="dxa" w:w="662"/>
            <w:shd w:val="clear" w:fill="F6F7F9"/>
          </w:tcPr>
          <w:p>
            <w:pPr>
              <w:spacing w:after="0" w:before="0"/>
            </w:pPr>
            <w:r/>
            <w:r>
              <w:rPr>
                <w:b/>
                <w:sz w:val="14"/>
              </w:rPr>
              <w:t>2019</w:t>
            </w:r>
          </w:p>
        </w:tc>
        <w:tc>
          <w:tcPr>
            <w:tcW w:type="dxa" w:w="662"/>
            <w:shd w:val="clear" w:fill="F6F7F9"/>
          </w:tcPr>
          <w:p>
            <w:pPr>
              <w:spacing w:after="0" w:before="0"/>
              <w:jc w:val="right"/>
            </w:pPr>
            <w:r/>
            <w:r>
              <w:rPr>
                <w:sz w:val="14"/>
              </w:rPr>
              <w:t>5.8</w:t>
            </w:r>
          </w:p>
        </w:tc>
        <w:tc>
          <w:tcPr>
            <w:tcW w:type="dxa" w:w="662"/>
            <w:shd w:val="clear" w:fill="F6F7F9"/>
          </w:tcPr>
          <w:p>
            <w:pPr>
              <w:spacing w:after="0" w:before="0"/>
              <w:jc w:val="right"/>
            </w:pPr>
            <w:r/>
            <w:r>
              <w:rPr>
                <w:sz w:val="14"/>
              </w:rPr>
              <w:t>1.4</w:t>
            </w:r>
          </w:p>
        </w:tc>
        <w:tc>
          <w:tcPr>
            <w:tcW w:type="dxa" w:w="662"/>
            <w:shd w:val="clear" w:fill="F6F7F9"/>
          </w:tcPr>
          <w:p>
            <w:pPr>
              <w:spacing w:after="0" w:before="0"/>
              <w:jc w:val="right"/>
            </w:pPr>
            <w:r/>
            <w:r>
              <w:rPr>
                <w:sz w:val="14"/>
              </w:rPr>
              <w:t>(3.9)</w:t>
            </w:r>
          </w:p>
        </w:tc>
        <w:tc>
          <w:tcPr>
            <w:tcW w:type="dxa" w:w="662"/>
            <w:shd w:val="clear" w:fill="F6F7F9"/>
          </w:tcPr>
          <w:p>
            <w:pPr>
              <w:spacing w:after="0" w:before="0"/>
              <w:jc w:val="right"/>
            </w:pPr>
            <w:r/>
            <w:r>
              <w:rPr>
                <w:sz w:val="14"/>
              </w:rPr>
              <w:t>4.9</w:t>
            </w:r>
          </w:p>
        </w:tc>
        <w:tc>
          <w:tcPr>
            <w:tcW w:type="dxa" w:w="662"/>
            <w:shd w:val="clear" w:fill="F6F7F9"/>
          </w:tcPr>
          <w:p>
            <w:pPr>
              <w:spacing w:after="0" w:before="0"/>
              <w:jc w:val="right"/>
            </w:pPr>
            <w:r/>
            <w:r>
              <w:rPr>
                <w:sz w:val="14"/>
              </w:rPr>
              <w:t>(7.5)</w:t>
            </w:r>
          </w:p>
        </w:tc>
        <w:tc>
          <w:tcPr>
            <w:tcW w:type="dxa" w:w="662"/>
            <w:shd w:val="clear" w:fill="F6F7F9"/>
          </w:tcPr>
          <w:p>
            <w:pPr>
              <w:spacing w:after="0" w:before="0"/>
              <w:jc w:val="right"/>
            </w:pPr>
            <w:r/>
            <w:r>
              <w:rPr>
                <w:sz w:val="14"/>
              </w:rPr>
              <w:t>0.2</w:t>
            </w:r>
          </w:p>
        </w:tc>
        <w:tc>
          <w:tcPr>
            <w:tcW w:type="dxa" w:w="662"/>
            <w:shd w:val="clear" w:fill="F6F7F9"/>
          </w:tcPr>
          <w:p>
            <w:pPr>
              <w:spacing w:after="0" w:before="0"/>
              <w:jc w:val="right"/>
            </w:pPr>
            <w:r/>
            <w:r>
              <w:rPr>
                <w:sz w:val="14"/>
              </w:rPr>
              <w:t>(5.3)</w:t>
            </w:r>
          </w:p>
        </w:tc>
        <w:tc>
          <w:tcPr>
            <w:tcW w:type="dxa" w:w="662"/>
            <w:shd w:val="clear" w:fill="F6F7F9"/>
          </w:tcPr>
          <w:p>
            <w:pPr>
              <w:spacing w:after="0" w:before="0"/>
              <w:jc w:val="right"/>
            </w:pPr>
            <w:r/>
            <w:r>
              <w:rPr>
                <w:sz w:val="14"/>
              </w:rPr>
              <w:t>(9.7)</w:t>
            </w:r>
          </w:p>
        </w:tc>
        <w:tc>
          <w:tcPr>
            <w:tcW w:type="dxa" w:w="662"/>
            <w:shd w:val="clear" w:fill="F6F7F9"/>
          </w:tcPr>
          <w:p>
            <w:pPr>
              <w:spacing w:after="0" w:before="0"/>
              <w:jc w:val="right"/>
            </w:pPr>
            <w:r/>
            <w:r>
              <w:rPr>
                <w:sz w:val="14"/>
              </w:rPr>
              <w:t>1.7</w:t>
            </w:r>
          </w:p>
        </w:tc>
        <w:tc>
          <w:tcPr>
            <w:tcW w:type="dxa" w:w="662"/>
            <w:shd w:val="clear" w:fill="F6F7F9"/>
          </w:tcPr>
          <w:p>
            <w:pPr>
              <w:spacing w:after="0" w:before="0"/>
              <w:jc w:val="right"/>
            </w:pPr>
            <w:r/>
            <w:r>
              <w:rPr>
                <w:sz w:val="14"/>
              </w:rPr>
              <w:t>(0.1)</w:t>
            </w:r>
          </w:p>
        </w:tc>
        <w:tc>
          <w:tcPr>
            <w:tcW w:type="dxa" w:w="662"/>
            <w:shd w:val="clear" w:fill="F6F7F9"/>
          </w:tcPr>
          <w:p>
            <w:pPr>
              <w:spacing w:after="0" w:before="0"/>
              <w:jc w:val="right"/>
            </w:pPr>
            <w:r/>
            <w:r>
              <w:rPr>
                <w:sz w:val="14"/>
              </w:rPr>
              <w:t>4.8</w:t>
            </w:r>
          </w:p>
        </w:tc>
        <w:tc>
          <w:tcPr>
            <w:tcW w:type="dxa" w:w="662"/>
            <w:shd w:val="clear" w:fill="F6F7F9"/>
          </w:tcPr>
          <w:p>
            <w:pPr>
              <w:spacing w:after="0" w:before="0"/>
              <w:jc w:val="right"/>
            </w:pPr>
            <w:r/>
            <w:r>
              <w:rPr>
                <w:sz w:val="14"/>
              </w:rPr>
              <w:t>3.2</w:t>
            </w:r>
          </w:p>
        </w:tc>
        <w:tc>
          <w:tcPr>
            <w:tcW w:type="dxa" w:w="662"/>
            <w:shd w:val="clear" w:fill="F6F7F9"/>
          </w:tcPr>
          <w:p>
            <w:pPr>
              <w:spacing w:after="0" w:before="0"/>
              <w:jc w:val="right"/>
            </w:pPr>
            <w:r/>
            <w:r>
              <w:rPr>
                <w:sz w:val="14"/>
              </w:rPr>
              <w:t>(5.9)</w:t>
            </w:r>
          </w:p>
        </w:tc>
        <w:tc>
          <w:tcPr>
            <w:tcW w:type="dxa" w:w="662"/>
            <w:shd w:val="clear" w:fill="F6F7F9"/>
          </w:tcPr>
          <w:p>
            <w:pPr>
              <w:spacing w:after="0" w:before="0"/>
              <w:jc w:val="right"/>
            </w:pPr>
            <w:r/>
            <w:r>
              <w:rPr>
                <w:sz w:val="14"/>
              </w:rPr>
              <w:t>23.9</w:t>
            </w:r>
          </w:p>
        </w:tc>
      </w:tr>
      <w:tr>
        <w:trPr>
          <w:cantSplit/>
        </w:trPr>
        <w:tc>
          <w:tcPr>
            <w:tcW w:type="dxa" w:w="662"/>
          </w:tcPr>
          <w:p>
            <w:pPr>
              <w:spacing w:after="0" w:before="0"/>
            </w:pPr>
            <w:r/>
            <w:r>
              <w:rPr>
                <w:b/>
                <w:sz w:val="14"/>
              </w:rPr>
              <w:t>2020</w:t>
            </w:r>
          </w:p>
        </w:tc>
        <w:tc>
          <w:tcPr>
            <w:tcW w:type="dxa" w:w="662"/>
          </w:tcPr>
          <w:p>
            <w:pPr>
              <w:spacing w:after="0" w:before="0"/>
              <w:jc w:val="right"/>
            </w:pPr>
            <w:r/>
            <w:r>
              <w:rPr>
                <w:sz w:val="14"/>
              </w:rPr>
              <w:t>0.6</w:t>
            </w:r>
          </w:p>
        </w:tc>
        <w:tc>
          <w:tcPr>
            <w:tcW w:type="dxa" w:w="662"/>
          </w:tcPr>
          <w:p>
            <w:pPr>
              <w:spacing w:after="0" w:before="0"/>
              <w:jc w:val="right"/>
            </w:pPr>
            <w:r/>
            <w:r>
              <w:rPr>
                <w:sz w:val="14"/>
              </w:rPr>
              <w:t>(8.4)</w:t>
            </w:r>
          </w:p>
        </w:tc>
        <w:tc>
          <w:tcPr>
            <w:tcW w:type="dxa" w:w="662"/>
          </w:tcPr>
          <w:p>
            <w:pPr>
              <w:spacing w:after="0" w:before="0"/>
              <w:jc w:val="right"/>
            </w:pPr>
            <w:r/>
            <w:r>
              <w:rPr>
                <w:sz w:val="14"/>
              </w:rPr>
              <w:t>(18.5)</w:t>
            </w:r>
          </w:p>
        </w:tc>
        <w:tc>
          <w:tcPr>
            <w:tcW w:type="dxa" w:w="662"/>
          </w:tcPr>
          <w:p>
            <w:pPr>
              <w:spacing w:after="0" w:before="0"/>
              <w:jc w:val="right"/>
            </w:pPr>
            <w:r/>
            <w:r>
              <w:rPr>
                <w:sz w:val="14"/>
              </w:rPr>
              <w:t>11.9</w:t>
            </w:r>
          </w:p>
        </w:tc>
        <w:tc>
          <w:tcPr>
            <w:tcW w:type="dxa" w:w="662"/>
          </w:tcPr>
          <w:p>
            <w:pPr>
              <w:spacing w:after="0" w:before="0"/>
              <w:jc w:val="right"/>
            </w:pPr>
            <w:r/>
            <w:r>
              <w:rPr>
                <w:sz w:val="14"/>
              </w:rPr>
              <w:t>(0.2)</w:t>
            </w:r>
          </w:p>
        </w:tc>
        <w:tc>
          <w:tcPr>
            <w:tcW w:type="dxa" w:w="662"/>
          </w:tcPr>
          <w:p>
            <w:pPr>
              <w:spacing w:after="0" w:before="0"/>
              <w:jc w:val="right"/>
            </w:pPr>
            <w:r/>
            <w:r>
              <w:rPr>
                <w:sz w:val="14"/>
              </w:rPr>
              <w:t>3.0</w:t>
            </w:r>
          </w:p>
        </w:tc>
        <w:tc>
          <w:tcPr>
            <w:tcW w:type="dxa" w:w="662"/>
          </w:tcPr>
          <w:p>
            <w:pPr>
              <w:spacing w:after="0" w:before="0"/>
              <w:jc w:val="right"/>
            </w:pPr>
            <w:r/>
            <w:r>
              <w:rPr>
                <w:sz w:val="14"/>
              </w:rPr>
              <w:t>3.0</w:t>
            </w:r>
          </w:p>
        </w:tc>
        <w:tc>
          <w:tcPr>
            <w:tcW w:type="dxa" w:w="662"/>
          </w:tcPr>
          <w:p>
            <w:pPr>
              <w:spacing w:after="0" w:before="0"/>
              <w:jc w:val="right"/>
            </w:pPr>
            <w:r/>
            <w:r>
              <w:rPr>
                <w:sz w:val="14"/>
              </w:rPr>
              <w:t>10.0</w:t>
            </w:r>
          </w:p>
        </w:tc>
        <w:tc>
          <w:tcPr>
            <w:tcW w:type="dxa" w:w="662"/>
          </w:tcPr>
          <w:p>
            <w:pPr>
              <w:spacing w:after="0" w:before="0"/>
              <w:jc w:val="right"/>
            </w:pPr>
            <w:r/>
            <w:r>
              <w:rPr>
                <w:sz w:val="14"/>
              </w:rPr>
              <w:t>2.6</w:t>
            </w:r>
          </w:p>
        </w:tc>
        <w:tc>
          <w:tcPr>
            <w:tcW w:type="dxa" w:w="662"/>
          </w:tcPr>
          <w:p>
            <w:pPr>
              <w:spacing w:after="0" w:before="0"/>
              <w:jc w:val="right"/>
            </w:pPr>
            <w:r/>
            <w:r>
              <w:rPr>
                <w:sz w:val="14"/>
              </w:rPr>
              <w:t>(5.9)</w:t>
            </w:r>
          </w:p>
        </w:tc>
        <w:tc>
          <w:tcPr>
            <w:tcW w:type="dxa" w:w="662"/>
          </w:tcPr>
          <w:p>
            <w:pPr>
              <w:spacing w:after="0" w:before="0"/>
              <w:jc w:val="right"/>
            </w:pPr>
            <w:r/>
            <w:r>
              <w:rPr>
                <w:sz w:val="14"/>
              </w:rPr>
              <w:t>12.6</w:t>
            </w:r>
          </w:p>
        </w:tc>
        <w:tc>
          <w:tcPr>
            <w:tcW w:type="dxa" w:w="662"/>
          </w:tcPr>
          <w:p>
            <w:pPr>
              <w:spacing w:after="0" w:before="0"/>
              <w:jc w:val="right"/>
            </w:pPr>
            <w:r/>
            <w:r>
              <w:rPr>
                <w:sz w:val="14"/>
              </w:rPr>
              <w:t>9.7</w:t>
            </w:r>
          </w:p>
        </w:tc>
        <w:tc>
          <w:tcPr>
            <w:tcW w:type="dxa" w:w="662"/>
          </w:tcPr>
          <w:p>
            <w:pPr>
              <w:spacing w:after="0" w:before="0"/>
              <w:jc w:val="right"/>
            </w:pPr>
            <w:r/>
            <w:r>
              <w:rPr>
                <w:sz w:val="14"/>
              </w:rPr>
              <w:t>16.9</w:t>
            </w:r>
          </w:p>
        </w:tc>
        <w:tc>
          <w:tcPr>
            <w:tcW w:type="dxa" w:w="662"/>
          </w:tcPr>
          <w:p>
            <w:pPr>
              <w:spacing w:after="0" w:before="0"/>
              <w:jc w:val="right"/>
            </w:pPr>
            <w:r/>
            <w:r>
              <w:rPr>
                <w:sz w:val="14"/>
              </w:rPr>
              <w:t>14.4</w:t>
            </w:r>
          </w:p>
        </w:tc>
      </w:tr>
      <w:tr>
        <w:trPr>
          <w:cantSplit/>
        </w:trPr>
        <w:tc>
          <w:tcPr>
            <w:tcW w:type="dxa" w:w="662"/>
            <w:shd w:val="clear" w:fill="F6F7F9"/>
          </w:tcPr>
          <w:p>
            <w:pPr>
              <w:spacing w:after="0" w:before="0"/>
            </w:pPr>
            <w:r/>
            <w:r>
              <w:rPr>
                <w:b/>
                <w:sz w:val="14"/>
              </w:rPr>
              <w:t>2021</w:t>
            </w:r>
          </w:p>
        </w:tc>
        <w:tc>
          <w:tcPr>
            <w:tcW w:type="dxa" w:w="662"/>
            <w:shd w:val="clear" w:fill="F6F7F9"/>
          </w:tcPr>
          <w:p>
            <w:pPr>
              <w:spacing w:after="0" w:before="0"/>
              <w:jc w:val="right"/>
            </w:pPr>
            <w:r/>
            <w:r>
              <w:rPr>
                <w:sz w:val="14"/>
              </w:rPr>
              <w:t>4.8</w:t>
            </w:r>
          </w:p>
        </w:tc>
        <w:tc>
          <w:tcPr>
            <w:tcW w:type="dxa" w:w="662"/>
            <w:shd w:val="clear" w:fill="F6F7F9"/>
          </w:tcPr>
          <w:p>
            <w:pPr>
              <w:spacing w:after="0" w:before="0"/>
              <w:jc w:val="right"/>
            </w:pPr>
            <w:r/>
            <w:r>
              <w:rPr>
                <w:sz w:val="14"/>
              </w:rPr>
              <w:t>87.5</w:t>
            </w:r>
          </w:p>
        </w:tc>
        <w:tc>
          <w:tcPr>
            <w:tcW w:type="dxa" w:w="662"/>
            <w:shd w:val="clear" w:fill="F6F7F9"/>
          </w:tcPr>
          <w:p>
            <w:pPr>
              <w:spacing w:after="0" w:before="0"/>
              <w:jc w:val="right"/>
            </w:pPr>
            <w:r/>
            <w:r>
              <w:rPr>
                <w:sz w:val="14"/>
              </w:rPr>
              <w:t>2.8</w:t>
            </w:r>
          </w:p>
        </w:tc>
        <w:tc>
          <w:tcPr>
            <w:tcW w:type="dxa" w:w="662"/>
            <w:shd w:val="clear" w:fill="F6F7F9"/>
          </w:tcPr>
          <w:p>
            <w:pPr>
              <w:spacing w:after="0" w:before="0"/>
              <w:jc w:val="right"/>
            </w:pPr>
            <w:r/>
            <w:r>
              <w:rPr>
                <w:sz w:val="14"/>
              </w:rPr>
              <w:t>1.8</w:t>
            </w:r>
          </w:p>
        </w:tc>
        <w:tc>
          <w:tcPr>
            <w:tcW w:type="dxa" w:w="662"/>
            <w:shd w:val="clear" w:fill="F6F7F9"/>
          </w:tcPr>
          <w:p>
            <w:pPr>
              <w:spacing w:after="0" w:before="0"/>
              <w:jc w:val="right"/>
            </w:pPr>
            <w:r/>
            <w:r>
              <w:rPr>
                <w:sz w:val="14"/>
              </w:rPr>
              <w:t>(0.4)</w:t>
            </w:r>
          </w:p>
        </w:tc>
        <w:tc>
          <w:tcPr>
            <w:tcW w:type="dxa" w:w="662"/>
            <w:shd w:val="clear" w:fill="F6F7F9"/>
          </w:tcPr>
          <w:p>
            <w:pPr>
              <w:spacing w:after="0" w:before="0"/>
              <w:jc w:val="right"/>
            </w:pPr>
            <w:r/>
            <w:r>
              <w:rPr>
                <w:sz w:val="14"/>
              </w:rPr>
              <w:t>0.4</w:t>
            </w:r>
          </w:p>
        </w:tc>
        <w:tc>
          <w:tcPr>
            <w:tcW w:type="dxa" w:w="662"/>
            <w:shd w:val="clear" w:fill="F6F7F9"/>
          </w:tcPr>
          <w:p>
            <w:pPr>
              <w:spacing w:after="0" w:before="0"/>
              <w:jc w:val="right"/>
            </w:pPr>
            <w:r/>
            <w:r>
              <w:rPr>
                <w:sz w:val="14"/>
              </w:rPr>
              <w:t>(0.4)</w:t>
            </w:r>
          </w:p>
        </w:tc>
        <w:tc>
          <w:tcPr>
            <w:tcW w:type="dxa" w:w="662"/>
            <w:shd w:val="clear" w:fill="F6F7F9"/>
          </w:tcPr>
          <w:p>
            <w:pPr>
              <w:spacing w:after="0" w:before="0"/>
              <w:jc w:val="right"/>
            </w:pPr>
            <w:r/>
            <w:r>
              <w:rPr>
                <w:sz w:val="14"/>
              </w:rPr>
              <w:t>1.0</w:t>
            </w:r>
          </w:p>
        </w:tc>
        <w:tc>
          <w:tcPr>
            <w:tcW w:type="dxa" w:w="662"/>
            <w:shd w:val="clear" w:fill="F6F7F9"/>
          </w:tcPr>
          <w:p>
            <w:pPr>
              <w:spacing w:after="0" w:before="0"/>
              <w:jc w:val="right"/>
            </w:pPr>
            <w:r/>
            <w:r>
              <w:rPr>
                <w:sz w:val="14"/>
              </w:rPr>
              <w:t>26.2</w:t>
            </w:r>
          </w:p>
        </w:tc>
        <w:tc>
          <w:tcPr>
            <w:tcW w:type="dxa" w:w="662"/>
            <w:shd w:val="clear" w:fill="F6F7F9"/>
          </w:tcPr>
          <w:p>
            <w:pPr>
              <w:spacing w:after="0" w:before="0"/>
              <w:jc w:val="right"/>
            </w:pPr>
            <w:r/>
            <w:r>
              <w:rPr>
                <w:sz w:val="14"/>
              </w:rPr>
              <w:t>10.7</w:t>
            </w:r>
          </w:p>
        </w:tc>
        <w:tc>
          <w:tcPr>
            <w:tcW w:type="dxa" w:w="662"/>
            <w:shd w:val="clear" w:fill="F6F7F9"/>
          </w:tcPr>
          <w:p>
            <w:pPr>
              <w:spacing w:after="0" w:before="0"/>
              <w:jc w:val="right"/>
            </w:pPr>
            <w:r/>
            <w:r>
              <w:rPr>
                <w:sz w:val="14"/>
              </w:rPr>
              <w:t>2.4</w:t>
            </w:r>
          </w:p>
        </w:tc>
        <w:tc>
          <w:tcPr>
            <w:tcW w:type="dxa" w:w="662"/>
            <w:shd w:val="clear" w:fill="F6F7F9"/>
          </w:tcPr>
          <w:p>
            <w:pPr>
              <w:spacing w:after="0" w:before="0"/>
              <w:jc w:val="right"/>
            </w:pPr>
            <w:r/>
            <w:r>
              <w:rPr>
                <w:sz w:val="14"/>
              </w:rPr>
              <w:t>1.5</w:t>
            </w:r>
          </w:p>
        </w:tc>
        <w:tc>
          <w:tcPr>
            <w:tcW w:type="dxa" w:w="662"/>
            <w:shd w:val="clear" w:fill="F6F7F9"/>
          </w:tcPr>
          <w:p>
            <w:pPr>
              <w:spacing w:after="0" w:before="0"/>
              <w:jc w:val="right"/>
            </w:pPr>
            <w:r/>
            <w:r>
              <w:rPr>
                <w:sz w:val="14"/>
              </w:rPr>
              <w:t>200.5</w:t>
            </w:r>
          </w:p>
        </w:tc>
        <w:tc>
          <w:tcPr>
            <w:tcW w:type="dxa" w:w="662"/>
            <w:shd w:val="clear" w:fill="F6F7F9"/>
          </w:tcPr>
          <w:p>
            <w:pPr>
              <w:spacing w:after="0" w:before="0"/>
              <w:jc w:val="right"/>
            </w:pPr>
            <w:r/>
            <w:r>
              <w:rPr>
                <w:sz w:val="14"/>
              </w:rPr>
              <w:t>16.5</w:t>
            </w:r>
          </w:p>
        </w:tc>
      </w:tr>
      <w:tr>
        <w:trPr>
          <w:cantSplit/>
        </w:trPr>
        <w:tc>
          <w:tcPr>
            <w:tcW w:type="dxa" w:w="662"/>
          </w:tcPr>
          <w:p>
            <w:pPr>
              <w:spacing w:after="0" w:before="0"/>
            </w:pPr>
            <w:r/>
            <w:r>
              <w:rPr>
                <w:b/>
                <w:sz w:val="14"/>
              </w:rPr>
              <w:t>2022</w:t>
            </w:r>
          </w:p>
        </w:tc>
        <w:tc>
          <w:tcPr>
            <w:tcW w:type="dxa" w:w="662"/>
          </w:tcPr>
          <w:p>
            <w:pPr>
              <w:spacing w:after="0" w:before="0"/>
              <w:jc w:val="right"/>
            </w:pPr>
            <w:r/>
            <w:r>
              <w:rPr>
                <w:sz w:val="14"/>
              </w:rPr>
              <w:t>(1.2)</w:t>
            </w:r>
          </w:p>
        </w:tc>
        <w:tc>
          <w:tcPr>
            <w:tcW w:type="dxa" w:w="662"/>
          </w:tcPr>
          <w:p>
            <w:pPr>
              <w:spacing w:after="0" w:before="0"/>
              <w:jc w:val="right"/>
            </w:pPr>
            <w:r/>
            <w:r>
              <w:rPr>
                <w:sz w:val="14"/>
              </w:rPr>
              <w:t>(1.7)</w:t>
            </w:r>
          </w:p>
        </w:tc>
        <w:tc>
          <w:tcPr>
            <w:tcW w:type="dxa" w:w="662"/>
          </w:tcPr>
          <w:p>
            <w:pPr>
              <w:spacing w:after="0" w:before="0"/>
              <w:jc w:val="right"/>
            </w:pPr>
            <w:r/>
            <w:r>
              <w:rPr>
                <w:sz w:val="14"/>
              </w:rPr>
              <w:t>0.5</w:t>
            </w:r>
          </w:p>
        </w:tc>
        <w:tc>
          <w:tcPr>
            <w:tcW w:type="dxa" w:w="662"/>
          </w:tcPr>
          <w:p>
            <w:pPr>
              <w:spacing w:after="0" w:before="0"/>
              <w:jc w:val="right"/>
            </w:pPr>
            <w:r/>
            <w:r>
              <w:rPr>
                <w:sz w:val="14"/>
              </w:rPr>
              <w:t>(2.9)</w:t>
            </w:r>
          </w:p>
        </w:tc>
        <w:tc>
          <w:tcPr>
            <w:tcW w:type="dxa" w:w="662"/>
          </w:tcPr>
          <w:p>
            <w:pPr>
              <w:spacing w:after="0" w:before="0"/>
              <w:jc w:val="right"/>
            </w:pPr>
            <w:r/>
            <w:r>
              <w:rPr>
                <w:sz w:val="14"/>
              </w:rPr>
              <w:t>(0.7)</w:t>
            </w:r>
          </w:p>
        </w:tc>
        <w:tc>
          <w:tcPr>
            <w:tcW w:type="dxa" w:w="662"/>
          </w:tcPr>
          <w:p>
            <w:pPr>
              <w:spacing w:after="0" w:before="0"/>
              <w:jc w:val="right"/>
            </w:pPr>
            <w:r/>
            <w:r>
              <w:rPr>
                <w:sz w:val="14"/>
              </w:rPr>
              <w:t>(3.9)</w:t>
            </w:r>
          </w:p>
        </w:tc>
        <w:tc>
          <w:tcPr>
            <w:tcW w:type="dxa" w:w="662"/>
          </w:tcPr>
          <w:p>
            <w:pPr>
              <w:spacing w:after="0" w:before="0"/>
              <w:jc w:val="right"/>
            </w:pPr>
            <w:r/>
            <w:r>
              <w:rPr>
                <w:sz w:val="14"/>
              </w:rPr>
              <w:t>0.4</w:t>
            </w:r>
          </w:p>
        </w:tc>
        <w:tc>
          <w:tcPr>
            <w:tcW w:type="dxa" w:w="662"/>
          </w:tcPr>
          <w:p>
            <w:pPr>
              <w:spacing w:after="0" w:before="0"/>
              <w:jc w:val="right"/>
            </w:pPr>
            <w:r/>
            <w:r>
              <w:rPr>
                <w:sz w:val="14"/>
              </w:rPr>
              <w:t>(3.6)</w:t>
            </w:r>
          </w:p>
        </w:tc>
        <w:tc>
          <w:tcPr>
            <w:tcW w:type="dxa" w:w="662"/>
          </w:tcPr>
          <w:p>
            <w:pPr>
              <w:spacing w:after="0" w:before="0"/>
              <w:jc w:val="right"/>
            </w:pPr>
            <w:r/>
            <w:r>
              <w:rPr>
                <w:sz w:val="14"/>
              </w:rPr>
              <w:t>(5.3)</w:t>
            </w:r>
          </w:p>
        </w:tc>
        <w:tc>
          <w:tcPr>
            <w:tcW w:type="dxa" w:w="662"/>
          </w:tcPr>
          <w:p>
            <w:pPr>
              <w:spacing w:after="0" w:before="0"/>
              <w:jc w:val="right"/>
            </w:pPr>
            <w:r/>
            <w:r>
              <w:rPr>
                <w:sz w:val="14"/>
              </w:rPr>
              <w:t>6.3</w:t>
            </w:r>
          </w:p>
        </w:tc>
        <w:tc>
          <w:tcPr>
            <w:tcW w:type="dxa" w:w="662"/>
          </w:tcPr>
          <w:p>
            <w:pPr>
              <w:spacing w:after="0" w:before="0"/>
              <w:jc w:val="right"/>
            </w:pPr>
            <w:r/>
            <w:r>
              <w:rPr>
                <w:sz w:val="14"/>
              </w:rPr>
              <w:t>14.4</w:t>
            </w:r>
          </w:p>
        </w:tc>
        <w:tc>
          <w:tcPr>
            <w:tcW w:type="dxa" w:w="662"/>
          </w:tcPr>
          <w:p>
            <w:pPr>
              <w:spacing w:after="0" w:before="0"/>
              <w:jc w:val="right"/>
            </w:pPr>
            <w:r/>
            <w:r>
              <w:rPr>
                <w:sz w:val="14"/>
              </w:rPr>
              <w:t>(0.6)</w:t>
            </w:r>
          </w:p>
        </w:tc>
        <w:tc>
          <w:tcPr>
            <w:tcW w:type="dxa" w:w="662"/>
          </w:tcPr>
          <w:p>
            <w:pPr>
              <w:spacing w:after="0" w:before="0"/>
              <w:jc w:val="right"/>
            </w:pPr>
            <w:r/>
            <w:r>
              <w:rPr>
                <w:sz w:val="14"/>
              </w:rPr>
              <w:t>0.3</w:t>
            </w:r>
          </w:p>
        </w:tc>
        <w:tc>
          <w:tcPr>
            <w:tcW w:type="dxa" w:w="662"/>
          </w:tcPr>
          <w:p>
            <w:pPr>
              <w:spacing w:after="0" w:before="0"/>
              <w:jc w:val="right"/>
            </w:pPr>
            <w:r/>
            <w:r>
              <w:rPr>
                <w:sz w:val="14"/>
              </w:rPr>
              <w:t>(19.8)</w:t>
            </w:r>
          </w:p>
        </w:tc>
      </w:tr>
      <w:tr>
        <w:trPr>
          <w:cantSplit/>
        </w:trPr>
        <w:tc>
          <w:tcPr>
            <w:tcW w:type="dxa" w:w="662"/>
            <w:shd w:val="clear" w:fill="F6F7F9"/>
          </w:tcPr>
          <w:p>
            <w:pPr>
              <w:spacing w:after="0" w:before="0"/>
            </w:pPr>
            <w:r/>
            <w:r>
              <w:rPr>
                <w:b/>
                <w:sz w:val="14"/>
              </w:rPr>
              <w:t>2023</w:t>
            </w:r>
          </w:p>
        </w:tc>
        <w:tc>
          <w:tcPr>
            <w:tcW w:type="dxa" w:w="662"/>
            <w:shd w:val="clear" w:fill="F6F7F9"/>
          </w:tcPr>
          <w:p>
            <w:pPr>
              <w:spacing w:after="0" w:before="0"/>
              <w:jc w:val="right"/>
            </w:pPr>
            <w:r/>
            <w:r>
              <w:rPr>
                <w:sz w:val="14"/>
              </w:rPr>
              <w:t>0.0</w:t>
            </w:r>
          </w:p>
        </w:tc>
        <w:tc>
          <w:tcPr>
            <w:tcW w:type="dxa" w:w="662"/>
            <w:shd w:val="clear" w:fill="F6F7F9"/>
          </w:tcPr>
          <w:p>
            <w:pPr>
              <w:spacing w:after="0" w:before="0"/>
              <w:jc w:val="right"/>
            </w:pPr>
            <w:r/>
            <w:r>
              <w:rPr>
                <w:sz w:val="14"/>
              </w:rPr>
              <w:t>(6.5)</w:t>
            </w:r>
          </w:p>
        </w:tc>
        <w:tc>
          <w:tcPr>
            <w:tcW w:type="dxa" w:w="662"/>
            <w:shd w:val="clear" w:fill="F6F7F9"/>
          </w:tcPr>
          <w:p>
            <w:pPr>
              <w:spacing w:after="0" w:before="0"/>
              <w:jc w:val="right"/>
            </w:pPr>
            <w:r/>
            <w:r>
              <w:rPr>
                <w:sz w:val="14"/>
              </w:rPr>
              <w:t>(7.0)</w:t>
            </w:r>
          </w:p>
        </w:tc>
        <w:tc>
          <w:tcPr>
            <w:tcW w:type="dxa" w:w="662"/>
            <w:shd w:val="clear" w:fill="F6F7F9"/>
          </w:tcPr>
          <w:p>
            <w:pPr>
              <w:spacing w:after="0" w:before="0"/>
              <w:jc w:val="right"/>
            </w:pPr>
            <w:r/>
            <w:r>
              <w:rPr>
                <w:sz w:val="14"/>
              </w:rPr>
              <w:t>4.9</w:t>
            </w:r>
          </w:p>
        </w:tc>
        <w:tc>
          <w:tcPr>
            <w:tcW w:type="dxa" w:w="662"/>
            <w:shd w:val="clear" w:fill="F6F7F9"/>
          </w:tcPr>
          <w:p>
            <w:pPr>
              <w:spacing w:after="0" w:before="0"/>
              <w:jc w:val="right"/>
            </w:pPr>
            <w:r/>
            <w:r>
              <w:rPr>
                <w:sz w:val="14"/>
              </w:rPr>
              <w:t>(0.2)</w:t>
            </w:r>
          </w:p>
        </w:tc>
        <w:tc>
          <w:tcPr>
            <w:tcW w:type="dxa" w:w="662"/>
            <w:shd w:val="clear" w:fill="F6F7F9"/>
          </w:tcPr>
          <w:p>
            <w:pPr>
              <w:spacing w:after="0" w:before="0"/>
              <w:jc w:val="right"/>
            </w:pPr>
            <w:r/>
            <w:r>
              <w:rPr>
                <w:sz w:val="14"/>
              </w:rPr>
              <w:t>6.4</w:t>
            </w:r>
          </w:p>
        </w:tc>
        <w:tc>
          <w:tcPr>
            <w:tcW w:type="dxa" w:w="662"/>
            <w:shd w:val="clear" w:fill="F6F7F9"/>
          </w:tcPr>
          <w:p>
            <w:pPr>
              <w:spacing w:after="0" w:before="0"/>
              <w:jc w:val="right"/>
            </w:pPr>
            <w:r/>
            <w:r>
              <w:rPr>
                <w:sz w:val="14"/>
              </w:rPr>
              <w:t>5.2</w:t>
            </w:r>
          </w:p>
        </w:tc>
        <w:tc>
          <w:tcPr>
            <w:tcW w:type="dxa" w:w="662"/>
            <w:shd w:val="clear" w:fill="F6F7F9"/>
          </w:tcPr>
          <w:p>
            <w:pPr>
              <w:spacing w:after="0" w:before="0"/>
              <w:jc w:val="right"/>
            </w:pPr>
            <w:r/>
            <w:r>
              <w:rPr>
                <w:sz w:val="14"/>
              </w:rPr>
              <w:t>(2.1)</w:t>
            </w:r>
          </w:p>
        </w:tc>
        <w:tc>
          <w:tcPr>
            <w:tcW w:type="dxa" w:w="662"/>
            <w:shd w:val="clear" w:fill="F6F7F9"/>
          </w:tcPr>
          <w:p>
            <w:pPr>
              <w:spacing w:after="0" w:before="0"/>
              <w:jc w:val="right"/>
            </w:pPr>
            <w:r/>
            <w:r>
              <w:rPr>
                <w:sz w:val="14"/>
              </w:rPr>
              <w:t>(1.7)</w:t>
            </w:r>
          </w:p>
        </w:tc>
        <w:tc>
          <w:tcPr>
            <w:tcW w:type="dxa" w:w="662"/>
            <w:shd w:val="clear" w:fill="F6F7F9"/>
          </w:tcPr>
          <w:p>
            <w:pPr>
              <w:spacing w:after="0" w:before="0"/>
              <w:jc w:val="right"/>
            </w:pPr>
            <w:r/>
            <w:r>
              <w:rPr>
                <w:sz w:val="14"/>
              </w:rPr>
              <w:t>(3.3)</w:t>
            </w:r>
          </w:p>
        </w:tc>
        <w:tc>
          <w:tcPr>
            <w:tcW w:type="dxa" w:w="662"/>
            <w:shd w:val="clear" w:fill="F6F7F9"/>
          </w:tcPr>
          <w:p>
            <w:pPr>
              <w:spacing w:after="0" w:before="0"/>
              <w:jc w:val="right"/>
            </w:pPr>
            <w:r/>
            <w:r>
              <w:rPr>
                <w:sz w:val="14"/>
              </w:rPr>
              <w:t>1.2</w:t>
            </w:r>
          </w:p>
        </w:tc>
        <w:tc>
          <w:tcPr>
            <w:tcW w:type="dxa" w:w="662"/>
            <w:shd w:val="clear" w:fill="F6F7F9"/>
          </w:tcPr>
          <w:p>
            <w:pPr>
              <w:spacing w:after="0" w:before="0"/>
              <w:jc w:val="right"/>
            </w:pPr>
            <w:r/>
            <w:r>
              <w:rPr>
                <w:sz w:val="14"/>
              </w:rPr>
              <w:t>3.6</w:t>
            </w:r>
          </w:p>
        </w:tc>
        <w:tc>
          <w:tcPr>
            <w:tcW w:type="dxa" w:w="662"/>
            <w:shd w:val="clear" w:fill="F6F7F9"/>
          </w:tcPr>
          <w:p>
            <w:pPr>
              <w:spacing w:after="0" w:before="0"/>
              <w:jc w:val="right"/>
            </w:pPr>
            <w:r/>
            <w:r>
              <w:rPr>
                <w:sz w:val="14"/>
              </w:rPr>
              <w:t>(0.5)</w:t>
            </w:r>
          </w:p>
        </w:tc>
        <w:tc>
          <w:tcPr>
            <w:tcW w:type="dxa" w:w="662"/>
            <w:shd w:val="clear" w:fill="F6F7F9"/>
          </w:tcPr>
          <w:p>
            <w:pPr>
              <w:spacing w:after="0" w:before="0"/>
              <w:jc w:val="right"/>
            </w:pPr>
            <w:r/>
            <w:r>
              <w:rPr>
                <w:sz w:val="14"/>
              </w:rPr>
              <w:t>19.5</w:t>
            </w:r>
          </w:p>
        </w:tc>
      </w:tr>
      <w:tr>
        <w:trPr>
          <w:cantSplit/>
        </w:trPr>
        <w:tc>
          <w:tcPr>
            <w:tcW w:type="dxa" w:w="662"/>
          </w:tcPr>
          <w:p>
            <w:pPr>
              <w:spacing w:after="0" w:before="0"/>
            </w:pPr>
            <w:r/>
            <w:r>
              <w:rPr>
                <w:b/>
                <w:sz w:val="14"/>
              </w:rPr>
              <w:t>2024</w:t>
            </w:r>
          </w:p>
        </w:tc>
        <w:tc>
          <w:tcPr>
            <w:tcW w:type="dxa" w:w="662"/>
          </w:tcPr>
          <w:p>
            <w:pPr>
              <w:spacing w:after="0" w:before="0"/>
              <w:jc w:val="right"/>
            </w:pPr>
            <w:r/>
            <w:r>
              <w:rPr>
                <w:sz w:val="14"/>
              </w:rPr>
              <w:t>2.5</w:t>
            </w:r>
          </w:p>
        </w:tc>
        <w:tc>
          <w:tcPr>
            <w:tcW w:type="dxa" w:w="662"/>
          </w:tcPr>
          <w:p>
            <w:pPr>
              <w:spacing w:after="0" w:before="0"/>
              <w:jc w:val="right"/>
            </w:pPr>
            <w:r/>
            <w:r>
              <w:rPr>
                <w:sz w:val="14"/>
              </w:rPr>
              <w:t>2.7</w:t>
            </w:r>
          </w:p>
        </w:tc>
        <w:tc>
          <w:tcPr>
            <w:tcW w:type="dxa" w:w="662"/>
          </w:tcPr>
          <w:p>
            <w:pPr>
              <w:spacing w:after="0" w:before="0"/>
              <w:jc w:val="right"/>
            </w:pPr>
            <w:r/>
            <w:r>
              <w:rPr>
                <w:sz w:val="14"/>
              </w:rPr>
              <w:t>5.1</w:t>
            </w:r>
          </w:p>
        </w:tc>
        <w:tc>
          <w:tcPr>
            <w:tcW w:type="dxa" w:w="662"/>
          </w:tcPr>
          <w:p>
            <w:pPr>
              <w:spacing w:after="0" w:before="0"/>
              <w:jc w:val="right"/>
            </w:pPr>
            <w:r/>
            <w:r>
              <w:rPr>
                <w:sz w:val="14"/>
              </w:rPr>
              <w:t>1.2</w:t>
            </w:r>
          </w:p>
        </w:tc>
        <w:tc>
          <w:tcPr>
            <w:tcW w:type="dxa" w:w="662"/>
          </w:tcPr>
          <w:p>
            <w:pPr>
              <w:spacing w:after="0" w:before="0"/>
              <w:jc w:val="right"/>
            </w:pPr>
            <w:r/>
            <w:r>
              <w:rPr>
                <w:sz w:val="14"/>
              </w:rPr>
              <w:t>1.6</w:t>
            </w:r>
          </w:p>
        </w:tc>
        <w:tc>
          <w:tcPr>
            <w:tcW w:type="dxa" w:w="662"/>
          </w:tcPr>
          <w:p>
            <w:pPr>
              <w:spacing w:after="0" w:before="0"/>
              <w:jc w:val="right"/>
            </w:pPr>
            <w:r/>
            <w:r>
              <w:rPr>
                <w:sz w:val="14"/>
              </w:rPr>
              <w:t>(0.8)</w:t>
            </w:r>
          </w:p>
        </w:tc>
        <w:tc>
          <w:tcPr>
            <w:tcW w:type="dxa" w:w="662"/>
          </w:tcPr>
          <w:p>
            <w:pPr>
              <w:spacing w:after="0" w:before="0"/>
              <w:jc w:val="right"/>
            </w:pPr>
            <w:r/>
            <w:r>
              <w:rPr>
                <w:sz w:val="14"/>
              </w:rPr>
              <w:t>6.0</w:t>
            </w:r>
          </w:p>
        </w:tc>
        <w:tc>
          <w:tcPr>
            <w:tcW w:type="dxa" w:w="662"/>
          </w:tcPr>
          <w:p>
            <w:pPr>
              <w:spacing w:after="0" w:before="0"/>
              <w:jc w:val="right"/>
            </w:pPr>
            <w:r/>
            <w:r>
              <w:rPr>
                <w:sz w:val="14"/>
              </w:rPr>
              <w:t>(1.4)</w:t>
            </w:r>
          </w:p>
        </w:tc>
        <w:tc>
          <w:tcPr>
            <w:tcW w:type="dxa" w:w="662"/>
          </w:tcPr>
          <w:p>
            <w:pPr>
              <w:spacing w:after="0" w:before="0"/>
              <w:jc w:val="right"/>
            </w:pPr>
            <w:r/>
            <w:r>
              <w:rPr>
                <w:sz w:val="14"/>
              </w:rPr>
              <w:t>0.2</w:t>
            </w:r>
          </w:p>
        </w:tc>
        <w:tc>
          <w:tcPr>
            <w:tcW w:type="dxa" w:w="662"/>
          </w:tcPr>
          <w:p>
            <w:pPr>
              <w:spacing w:after="0" w:before="0"/>
              <w:jc w:val="right"/>
            </w:pPr>
            <w:r/>
            <w:r>
              <w:rPr>
                <w:sz w:val="14"/>
              </w:rPr>
              <w:t>(0.1)</w:t>
            </w:r>
          </w:p>
        </w:tc>
        <w:tc>
          <w:tcPr>
            <w:tcW w:type="dxa" w:w="662"/>
          </w:tcPr>
          <w:p>
            <w:pPr>
              <w:spacing w:after="0" w:before="0"/>
              <w:jc w:val="right"/>
            </w:pPr>
            <w:r/>
            <w:r>
              <w:rPr>
                <w:sz w:val="14"/>
              </w:rPr>
              <w:t>5.3</w:t>
            </w:r>
          </w:p>
        </w:tc>
        <w:tc>
          <w:tcPr>
            <w:tcW w:type="dxa" w:w="662"/>
          </w:tcPr>
          <w:p>
            <w:pPr>
              <w:spacing w:after="0" w:before="0"/>
              <w:jc w:val="right"/>
            </w:pPr>
            <w:r/>
            <w:r>
              <w:rPr>
                <w:sz w:val="14"/>
              </w:rPr>
              <w:t>0.5</w:t>
            </w:r>
          </w:p>
        </w:tc>
        <w:tc>
          <w:tcPr>
            <w:tcW w:type="dxa" w:w="662"/>
          </w:tcPr>
          <w:p>
            <w:pPr>
              <w:spacing w:after="0" w:before="0"/>
              <w:jc w:val="right"/>
            </w:pPr>
            <w:r/>
            <w:r>
              <w:rPr>
                <w:sz w:val="14"/>
              </w:rPr>
              <w:t>25.0</w:t>
            </w:r>
          </w:p>
        </w:tc>
        <w:tc>
          <w:tcPr>
            <w:tcW w:type="dxa" w:w="662"/>
          </w:tcPr>
          <w:p>
            <w:pPr>
              <w:spacing w:after="0" w:before="0"/>
              <w:jc w:val="right"/>
            </w:pPr>
            <w:r/>
            <w:r>
              <w:rPr>
                <w:sz w:val="14"/>
              </w:rPr>
              <w:t>28.8</w:t>
            </w:r>
          </w:p>
        </w:tc>
      </w:tr>
      <w:tr>
        <w:trPr>
          <w:cantSplit/>
        </w:trPr>
        <w:tc>
          <w:tcPr>
            <w:tcW w:type="dxa" w:w="662"/>
            <w:shd w:val="clear" w:fill="F6F7F9"/>
          </w:tcPr>
          <w:p>
            <w:pPr>
              <w:spacing w:after="0" w:before="0"/>
            </w:pPr>
            <w:r/>
            <w:r>
              <w:rPr>
                <w:b/>
                <w:sz w:val="14"/>
              </w:rPr>
              <w:t>2025</w:t>
            </w:r>
          </w:p>
        </w:tc>
        <w:tc>
          <w:tcPr>
            <w:tcW w:type="dxa" w:w="662"/>
            <w:shd w:val="clear" w:fill="F6F7F9"/>
          </w:tcPr>
          <w:p>
            <w:pPr>
              <w:spacing w:after="0" w:before="0"/>
              <w:jc w:val="right"/>
            </w:pPr>
            <w:r/>
            <w:r>
              <w:rPr>
                <w:sz w:val="14"/>
              </w:rPr>
              <w:t>3.5</w:t>
            </w:r>
          </w:p>
        </w:tc>
        <w:tc>
          <w:tcPr>
            <w:tcW w:type="dxa" w:w="662"/>
            <w:shd w:val="clear" w:fill="F6F7F9"/>
          </w:tcPr>
          <w:p>
            <w:pPr>
              <w:spacing w:after="0" w:before="0"/>
              <w:jc w:val="right"/>
            </w:pPr>
            <w:r/>
            <w:r>
              <w:rPr>
                <w:sz w:val="14"/>
              </w:rPr>
              <w:t>(0.1)</w:t>
            </w:r>
          </w:p>
        </w:tc>
        <w:tc>
          <w:tcPr>
            <w:tcW w:type="dxa" w:w="662"/>
            <w:shd w:val="clear" w:fill="F6F7F9"/>
          </w:tcPr>
          <w:p>
            <w:pPr>
              <w:spacing w:after="0" w:before="0"/>
              <w:jc w:val="right"/>
            </w:pPr>
            <w:r/>
            <w:r>
              <w:rPr>
                <w:sz w:val="14"/>
              </w:rPr>
              <w:t>(1.8)</w:t>
            </w:r>
          </w:p>
        </w:tc>
        <w:tc>
          <w:tcPr>
            <w:tcW w:type="dxa" w:w="662"/>
            <w:shd w:val="clear" w:fill="F6F7F9"/>
          </w:tcPr>
          <w:p>
            <w:pPr>
              <w:spacing w:after="0" w:before="0"/>
              <w:jc w:val="right"/>
            </w:pPr>
            <w:r/>
            <w:r>
              <w:rPr>
                <w:sz w:val="14"/>
              </w:rPr>
              <w:t>(1.4)</w:t>
            </w:r>
          </w:p>
        </w:tc>
        <w:tc>
          <w:tcPr>
            <w:tcW w:type="dxa" w:w="662"/>
            <w:shd w:val="clear" w:fill="F6F7F9"/>
          </w:tcPr>
          <w:p>
            <w:pPr>
              <w:spacing w:after="0" w:before="0"/>
              <w:jc w:val="right"/>
            </w:pPr>
            <w:r/>
            <w:r>
              <w:rPr>
                <w:sz w:val="14"/>
              </w:rPr>
              <w:t>7.0</w:t>
            </w:r>
          </w:p>
        </w:tc>
        <w:tc>
          <w:tcPr>
            <w:tcW w:type="dxa" w:w="662"/>
            <w:shd w:val="clear" w:fill="F6F7F9"/>
          </w:tcPr>
          <w:p>
            <w:pPr>
              <w:spacing w:after="0" w:before="0"/>
              <w:jc w:val="right"/>
            </w:pPr>
            <w:r/>
            <w:r>
              <w:rPr>
                <w:sz w:val="14"/>
              </w:rPr>
              <w:t>1.8</w:t>
            </w:r>
          </w:p>
        </w:tc>
        <w:tc>
          <w:tcPr>
            <w:tcW w:type="dxa" w:w="662"/>
            <w:shd w:val="clear" w:fill="F6F7F9"/>
          </w:tcPr>
          <w:p>
            <w:pPr>
              <w:spacing w:after="0" w:before="0"/>
              <w:jc w:val="right"/>
            </w:pPr>
            <w:r/>
            <w:r>
              <w:rPr>
                <w:sz w:val="14"/>
              </w:rPr>
              <w:t>2.5</w:t>
            </w:r>
          </w:p>
        </w:tc>
        <w:tc>
          <w:tcPr>
            <w:tcW w:type="dxa" w:w="662"/>
            <w:shd w:val="clear" w:fill="F6F7F9"/>
          </w:tcPr>
          <w:p>
            <w:pPr>
              <w:spacing w:after="0" w:before="0"/>
              <w:jc w:val="right"/>
            </w:pPr>
            <w:r/>
            <w:r>
              <w:rPr>
                <w:sz w:val="14"/>
              </w:rPr>
              <w:t>(1.5)</w:t>
            </w:r>
          </w:p>
        </w:tc>
        <w:tc>
          <w:tcPr>
            <w:tcW w:type="dxa" w:w="662"/>
            <w:shd w:val="clear" w:fill="F6F7F9"/>
          </w:tcPr>
          <w:p>
            <w:pPr>
              <w:spacing w:after="0" w:before="0"/>
              <w:jc w:val="right"/>
            </w:pPr>
            <w:r/>
            <w:r>
              <w:rPr>
                <w:sz w:val="14"/>
              </w:rPr>
              <w:t>(0.5)</w:t>
            </w:r>
          </w:p>
        </w:tc>
        <w:tc>
          <w:tcPr>
            <w:tcW w:type="dxa" w:w="662"/>
            <w:shd w:val="clear" w:fill="F6F7F9"/>
          </w:tcPr>
          <w:p>
            <w:pPr>
              <w:spacing w:after="0" w:before="0"/>
              <w:jc w:val="right"/>
            </w:pPr>
            <w:r/>
            <w:r>
              <w:rPr>
                <w:sz w:val="14"/>
              </w:rPr>
              <w:t>(3.0)</w:t>
            </w:r>
          </w:p>
        </w:tc>
        <w:tc>
          <w:tcPr>
            <w:tcW w:type="dxa" w:w="662"/>
            <w:shd w:val="clear" w:fill="F6F7F9"/>
          </w:tcPr>
          <w:p>
            <w:pPr>
              <w:spacing w:after="0" w:before="0"/>
              <w:jc w:val="right"/>
            </w:pPr>
            <w:r/>
            <w:r>
              <w:rPr>
                <w:sz w:val="14"/>
              </w:rPr>
              <w:t>(0.8)</w:t>
            </w:r>
          </w:p>
        </w:tc>
        <w:tc>
          <w:tcPr>
            <w:tcW w:type="dxa" w:w="662"/>
            <w:shd w:val="clear" w:fill="F6F7F9"/>
          </w:tcPr>
          <w:p>
            <w:pPr>
              <w:spacing w:after="0" w:before="0"/>
              <w:jc w:val="right"/>
            </w:pPr>
            <w:r/>
            <w:r>
              <w:rPr>
                <w:sz w:val="14"/>
              </w:rPr>
              <w:t>(1.4)</w:t>
            </w:r>
          </w:p>
        </w:tc>
        <w:tc>
          <w:tcPr>
            <w:tcW w:type="dxa" w:w="662"/>
            <w:shd w:val="clear" w:fill="F6F7F9"/>
          </w:tcPr>
          <w:p>
            <w:pPr>
              <w:spacing w:after="0" w:before="0"/>
              <w:jc w:val="right"/>
            </w:pPr>
            <w:r/>
            <w:r>
              <w:rPr>
                <w:sz w:val="14"/>
              </w:rPr>
              <w:t>4.1</w:t>
            </w:r>
          </w:p>
        </w:tc>
        <w:tc>
          <w:tcPr>
            <w:tcW w:type="dxa" w:w="662"/>
            <w:shd w:val="clear" w:fill="F6F7F9"/>
          </w:tcPr>
          <w:p>
            <w:pPr>
              <w:spacing w:after="0" w:before="0"/>
              <w:jc w:val="right"/>
            </w:pPr>
            <w:r/>
            <w:r>
              <w:rPr>
                <w:sz w:val="14"/>
              </w:rPr>
              <w:t>0.9</w:t>
            </w:r>
          </w:p>
        </w:tc>
      </w:tr>
      <w:tr>
        <w:trPr>
          <w:cantSplit/>
        </w:trPr>
        <w:tc>
          <w:tcPr>
            <w:tcW w:type="dxa" w:w="662"/>
          </w:tcPr>
          <w:p>
            <w:pPr>
              <w:spacing w:after="0" w:before="0"/>
            </w:pPr>
            <w:r/>
            <w:r>
              <w:rPr>
                <w:b/>
                <w:sz w:val="14"/>
              </w:rPr>
              <w:t>2026</w:t>
            </w:r>
          </w:p>
        </w:tc>
        <w:tc>
          <w:tcPr>
            <w:tcW w:type="dxa" w:w="662"/>
          </w:tcPr>
          <w:p>
            <w:pPr>
              <w:spacing w:after="0" w:before="0"/>
              <w:jc w:val="right"/>
            </w:pPr>
            <w:r/>
            <w:r>
              <w:rPr>
                <w:sz w:val="14"/>
              </w:rPr>
              <w:t>(2.2)</w:t>
            </w:r>
          </w:p>
        </w:tc>
        <w:tc>
          <w:tcPr>
            <w:tcW w:type="dxa" w:w="662"/>
          </w:tcPr>
          <w:p>
            <w:pPr>
              <w:spacing w:after="0" w:before="0"/>
              <w:jc w:val="right"/>
            </w:pPr>
            <w:r/>
            <w:r>
              <w:rPr>
                <w:sz w:val="14"/>
              </w:rPr>
              <w:t>(0.4)</w:t>
            </w:r>
          </w:p>
        </w:tc>
        <w:tc>
          <w:tcPr>
            <w:tcW w:type="dxa" w:w="662"/>
          </w:tcPr>
          <w:p>
            <w:pPr>
              <w:spacing w:after="0" w:before="0"/>
              <w:jc w:val="right"/>
            </w:pPr>
            <w:r/>
            <w:r>
              <w:rPr>
                <w:sz w:val="14"/>
              </w:rPr>
              <w:t>(2.4)</w:t>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r>
          </w:p>
        </w:tc>
        <w:tc>
          <w:tcPr>
            <w:tcW w:type="dxa" w:w="662"/>
          </w:tcPr>
          <w:p>
            <w:pPr>
              <w:spacing w:after="0" w:before="0"/>
              <w:jc w:val="right"/>
            </w:pPr>
            <w:r/>
            <w:r>
              <w:rPr>
                <w:sz w:val="14"/>
              </w:rPr>
              <w:t>(5.0)</w:t>
            </w:r>
          </w:p>
        </w:tc>
        <w:tc>
          <w:tcPr>
            <w:tcW w:type="dxa" w:w="662"/>
          </w:tcPr>
          <w:p>
            <w:pPr>
              <w:spacing w:after="0" w:before="0"/>
              <w:jc w:val="right"/>
            </w:pPr>
            <w:r/>
            <w:r>
              <w:rPr>
                <w:sz w:val="14"/>
              </w:rPr>
              <w:t>0.2</w:t>
            </w:r>
          </w:p>
        </w:tc>
      </w:tr>
    </w:tbl>
    <w:p>
      <w:pPr>
        <w:spacing w:before="40" w:after="60" w:line="269" w:lineRule="auto"/>
        <w:jc w:val="left"/>
      </w:pPr>
      <w:r>
        <w:rPr>
          <w:b w:val="0"/>
          <w:i/>
          <w:color w:val="556A83"/>
          <w:sz w:val="16"/>
        </w:rPr>
        <w:t>Auto-extracted from the source performance grid; please cross-check the current-year (2026) trailing cells, where unreported months may shift alignment.</w:t>
      </w:r>
    </w:p>
    <w:p>
      <w:pPr>
        <w:spacing w:after="0" w:before="0"/>
      </w:pPr>
      <w:r>
        <w:br w:type="page"/>
      </w:r>
    </w:p>
    <w:p>
      <w:pPr>
        <w:keepNext/>
        <w:pageBreakBefore/>
        <w:spacing w:before="360" w:after="80"/>
      </w:pPr>
      <w:r>
        <w:rPr>
          <w:rFonts w:ascii="Times New Roman" w:hAnsi="Times New Roman"/>
          <w:b/>
          <w:color w:val="152130"/>
          <w:sz w:val="30"/>
        </w:rPr>
        <w:t>Portfolio holdings</w:t>
      </w:r>
    </w:p>
    <w:p>
      <w:pPr>
        <w:keepNext/>
        <w:spacing w:before="120" w:after="80"/>
        <w:pBdr>
          <w:bottom w:val="single" w:sz="6" w:space="2" w:color="314359"/>
        </w:pBdr>
      </w:pPr>
      <w:r>
        <w:rPr>
          <w:rFonts w:ascii="Times New Roman" w:hAnsi="Times New Roman"/>
          <w:b/>
          <w:color w:val="152130"/>
          <w:sz w:val="26"/>
        </w:rPr>
        <w:t>Tempest Security</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Tempest Security offers high-quality security and surveillance services in the Nordic countries.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SEK 278m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SEK 45m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5%</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4%</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Since 2020</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An actual and perceived increase in societal tension and crime, combined with fewer police resources, is driving demand for private security services. Tempest is one of the larger providers in Sweden and has a strong reputation. There are opportunities to improve profitability both through cost savings — as the company has refocused on its core markets — and through expansion in areas where the company has operational leverage, such as the security operations centre.</w:t>
      </w:r>
    </w:p>
    <w:p>
      <w:pPr>
        <w:keepNext/>
        <w:spacing w:before="120" w:after="20" w:line="269" w:lineRule="auto"/>
        <w:jc w:val="left"/>
      </w:pPr>
      <w:r>
        <w:rPr>
          <w:b/>
          <w:i w:val="0"/>
          <w:color w:val="314359"/>
          <w:sz w:val="20"/>
        </w:rPr>
        <w:t>Recent events, Q1 2026</w:t>
      </w:r>
    </w:p>
    <w:p>
      <w:pPr>
        <w:pStyle w:val="ListBullet"/>
        <w:spacing w:after="20"/>
      </w:pPr>
      <w:r>
        <w:rPr>
          <w:sz w:val="21"/>
        </w:rPr>
        <w:t>Net sales increased by 11% to SEK 146m, driven by growth in the core business.</w:t>
      </w:r>
    </w:p>
    <w:p>
      <w:pPr>
        <w:pStyle w:val="ListBullet"/>
        <w:spacing w:after="20"/>
      </w:pPr>
      <w:r>
        <w:rPr>
          <w:sz w:val="21"/>
        </w:rPr>
        <w:t>The operating result for Q1 improved to SEK 1.9m.</w:t>
      </w:r>
    </w:p>
    <w:p>
      <w:pPr>
        <w:pStyle w:val="ListBullet"/>
        <w:spacing w:after="20"/>
      </w:pPr>
      <w:r>
        <w:rPr>
          <w:sz w:val="21"/>
        </w:rPr>
        <w:t>Operating cash flow was strongly positive at SEK 4.6m.</w:t>
      </w:r>
    </w:p>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900056"/>
            <wp:docPr id="1" name="Picture 1"/>
            <wp:cNvGraphicFramePr>
              <a:graphicFrameLocks noChangeAspect="1"/>
            </wp:cNvGraphicFramePr>
            <a:graphic>
              <a:graphicData uri="http://schemas.openxmlformats.org/drawingml/2006/picture">
                <pic:pic>
                  <pic:nvPicPr>
                    <pic:cNvPr id="0" name="d5402f2326a87fdca7834941d57a6d84.png"/>
                    <pic:cNvPicPr/>
                  </pic:nvPicPr>
                  <pic:blipFill>
                    <a:blip r:embed="rId9"/>
                    <a:stretch>
                      <a:fillRect/>
                    </a:stretch>
                  </pic:blipFill>
                  <pic:spPr>
                    <a:xfrm>
                      <a:off x="0" y="0"/>
                      <a:ext cx="5212080" cy="1900056"/>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Nasdaq First North Growth Market: TSEC.</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Athanase Innovation (incl. Ivisys)</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Athanase Innovation AB is an investor in private and public technology and innovation companies.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SEK 190m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SEK 146m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62%</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18%</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Since 2018</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Our wholly owned subsidiary, Ivisys, continues to show strong growth potential in the U.S. market. The company has established a presence among large global consumer-goods companies. The next logical step is a broader roll-out of the technology within their production processes.</w:t>
      </w:r>
    </w:p>
    <w:p>
      <w:pPr>
        <w:keepNext/>
        <w:spacing w:before="120" w:after="20" w:line="269" w:lineRule="auto"/>
        <w:jc w:val="left"/>
      </w:pPr>
      <w:r>
        <w:rPr>
          <w:b/>
          <w:i w:val="0"/>
          <w:color w:val="314359"/>
          <w:sz w:val="20"/>
        </w:rPr>
        <w:t>Recent events, Q1 2026</w:t>
      </w:r>
    </w:p>
    <w:p>
      <w:pPr>
        <w:pStyle w:val="ListBullet"/>
        <w:spacing w:after="20"/>
      </w:pPr>
      <w:r>
        <w:rPr>
          <w:sz w:val="21"/>
        </w:rPr>
        <w:t>Earnings and sales at Ivisys have been adversely affected by the patent dispute with CHEP; both parties have agreed to settle after the close of Q1.</w:t>
      </w:r>
    </w:p>
    <w:p>
      <w:pPr>
        <w:pStyle w:val="ListBullet"/>
        <w:spacing w:after="20"/>
      </w:pPr>
      <w:r>
        <w:rPr>
          <w:sz w:val="21"/>
        </w:rPr>
        <w:t>A Norwegian private equity firm, Norvestor, launched a public offer for one of Athanase Innovation’s holdings, Zalaris. The company has accepted the bid and received approximately NOK 143m in cash after the close of Q1.</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rPr>
          <w:cantSplit/>
        </w:trPr>
        <w:tc>
          <w:tcPr>
            <w:tcW w:type="dxa" w:w="1656"/>
            <w:shd w:val="clear" w:fill="152130"/>
          </w:tcPr>
          <w:p>
            <w:pPr>
              <w:spacing w:after="0" w:before="0"/>
            </w:pPr>
            <w:r/>
            <w:r>
              <w:rPr>
                <w:b/>
                <w:color w:val="FFFFFF"/>
                <w:sz w:val="17"/>
              </w:rPr>
              <w:t>MSEK</w:t>
            </w:r>
          </w:p>
        </w:tc>
        <w:tc>
          <w:tcPr>
            <w:tcW w:type="dxa" w:w="1656"/>
            <w:shd w:val="clear" w:fill="152130"/>
          </w:tcPr>
          <w:p>
            <w:pPr>
              <w:spacing w:after="0" w:before="0"/>
            </w:pPr>
            <w:r/>
            <w:r>
              <w:rPr>
                <w:b/>
                <w:color w:val="FFFFFF"/>
                <w:sz w:val="17"/>
              </w:rPr>
              <w:t>20/21</w:t>
            </w:r>
          </w:p>
        </w:tc>
        <w:tc>
          <w:tcPr>
            <w:tcW w:type="dxa" w:w="1656"/>
            <w:shd w:val="clear" w:fill="152130"/>
          </w:tcPr>
          <w:p>
            <w:pPr>
              <w:spacing w:after="0" w:before="0"/>
            </w:pPr>
            <w:r/>
            <w:r>
              <w:rPr>
                <w:b/>
                <w:color w:val="FFFFFF"/>
                <w:sz w:val="17"/>
              </w:rPr>
              <w:t>21/22</w:t>
            </w:r>
          </w:p>
        </w:tc>
        <w:tc>
          <w:tcPr>
            <w:tcW w:type="dxa" w:w="1656"/>
            <w:shd w:val="clear" w:fill="152130"/>
          </w:tcPr>
          <w:p>
            <w:pPr>
              <w:spacing w:after="0" w:before="0"/>
            </w:pPr>
            <w:r/>
            <w:r>
              <w:rPr>
                <w:b/>
                <w:color w:val="FFFFFF"/>
                <w:sz w:val="17"/>
              </w:rPr>
              <w:t>22/23</w:t>
            </w:r>
          </w:p>
        </w:tc>
        <w:tc>
          <w:tcPr>
            <w:tcW w:type="dxa" w:w="1656"/>
            <w:shd w:val="clear" w:fill="152130"/>
          </w:tcPr>
          <w:p>
            <w:pPr>
              <w:spacing w:after="0" w:before="0"/>
            </w:pPr>
            <w:r/>
            <w:r>
              <w:rPr>
                <w:b/>
                <w:color w:val="FFFFFF"/>
                <w:sz w:val="17"/>
              </w:rPr>
              <w:t>23/24</w:t>
            </w:r>
          </w:p>
        </w:tc>
        <w:tc>
          <w:tcPr>
            <w:tcW w:type="dxa" w:w="1656"/>
            <w:shd w:val="clear" w:fill="152130"/>
          </w:tcPr>
          <w:p>
            <w:pPr>
              <w:spacing w:after="0" w:before="0"/>
            </w:pPr>
            <w:r/>
            <w:r>
              <w:rPr>
                <w:b/>
                <w:color w:val="FFFFFF"/>
                <w:sz w:val="17"/>
              </w:rPr>
              <w:t>24/25</w:t>
            </w:r>
          </w:p>
        </w:tc>
      </w:tr>
      <w:tr>
        <w:trPr>
          <w:cantSplit/>
        </w:trPr>
        <w:tc>
          <w:tcPr>
            <w:tcW w:type="dxa" w:w="1656"/>
          </w:tcPr>
          <w:p>
            <w:pPr>
              <w:spacing w:after="0" w:before="0"/>
            </w:pPr>
            <w:r/>
            <w:r>
              <w:rPr>
                <w:b/>
                <w:sz w:val="17"/>
              </w:rPr>
              <w:t>Net Revenue</w:t>
            </w:r>
          </w:p>
        </w:tc>
        <w:tc>
          <w:tcPr>
            <w:tcW w:type="dxa" w:w="1656"/>
          </w:tcPr>
          <w:p>
            <w:pPr>
              <w:spacing w:after="0" w:before="0"/>
              <w:jc w:val="right"/>
            </w:pPr>
            <w:r/>
            <w:r>
              <w:rPr>
                <w:sz w:val="17"/>
              </w:rPr>
              <w:t>44</w:t>
            </w:r>
          </w:p>
        </w:tc>
        <w:tc>
          <w:tcPr>
            <w:tcW w:type="dxa" w:w="1656"/>
          </w:tcPr>
          <w:p>
            <w:pPr>
              <w:spacing w:after="0" w:before="0"/>
              <w:jc w:val="right"/>
            </w:pPr>
            <w:r/>
            <w:r>
              <w:rPr>
                <w:sz w:val="17"/>
              </w:rPr>
              <w:t>88</w:t>
            </w:r>
          </w:p>
        </w:tc>
        <w:tc>
          <w:tcPr>
            <w:tcW w:type="dxa" w:w="1656"/>
          </w:tcPr>
          <w:p>
            <w:pPr>
              <w:spacing w:after="0" w:before="0"/>
              <w:jc w:val="right"/>
            </w:pPr>
            <w:r/>
            <w:r>
              <w:rPr>
                <w:sz w:val="17"/>
              </w:rPr>
              <w:t>109</w:t>
            </w:r>
          </w:p>
        </w:tc>
        <w:tc>
          <w:tcPr>
            <w:tcW w:type="dxa" w:w="1656"/>
          </w:tcPr>
          <w:p>
            <w:pPr>
              <w:spacing w:after="0" w:before="0"/>
              <w:jc w:val="right"/>
            </w:pPr>
            <w:r/>
            <w:r>
              <w:rPr>
                <w:sz w:val="17"/>
              </w:rPr>
              <w:t>130</w:t>
            </w:r>
          </w:p>
        </w:tc>
        <w:tc>
          <w:tcPr>
            <w:tcW w:type="dxa" w:w="1656"/>
          </w:tcPr>
          <w:p>
            <w:pPr>
              <w:spacing w:after="0" w:before="0"/>
              <w:jc w:val="right"/>
            </w:pPr>
            <w:r/>
            <w:r>
              <w:rPr>
                <w:sz w:val="17"/>
              </w:rPr>
              <w:t>171</w:t>
            </w:r>
          </w:p>
        </w:tc>
      </w:tr>
      <w:tr>
        <w:trPr>
          <w:cantSplit/>
        </w:trPr>
        <w:tc>
          <w:tcPr>
            <w:tcW w:type="dxa" w:w="1656"/>
            <w:shd w:val="clear" w:fill="F6F7F9"/>
          </w:tcPr>
          <w:p>
            <w:pPr>
              <w:spacing w:after="0" w:before="0"/>
            </w:pPr>
            <w:r/>
            <w:r>
              <w:rPr>
                <w:b/>
                <w:sz w:val="17"/>
              </w:rPr>
              <w:t>EBITDA</w:t>
            </w:r>
          </w:p>
        </w:tc>
        <w:tc>
          <w:tcPr>
            <w:tcW w:type="dxa" w:w="1656"/>
            <w:shd w:val="clear" w:fill="F6F7F9"/>
          </w:tcPr>
          <w:p>
            <w:pPr>
              <w:spacing w:after="0" w:before="0"/>
              <w:jc w:val="right"/>
            </w:pPr>
            <w:r/>
            <w:r>
              <w:rPr>
                <w:sz w:val="17"/>
              </w:rPr>
              <w:t>(4)</w:t>
            </w:r>
          </w:p>
        </w:tc>
        <w:tc>
          <w:tcPr>
            <w:tcW w:type="dxa" w:w="1656"/>
            <w:shd w:val="clear" w:fill="F6F7F9"/>
          </w:tcPr>
          <w:p>
            <w:pPr>
              <w:spacing w:after="0" w:before="0"/>
              <w:jc w:val="right"/>
            </w:pPr>
            <w:r/>
            <w:r>
              <w:rPr>
                <w:sz w:val="17"/>
              </w:rPr>
              <w:t>(9)</w:t>
            </w:r>
          </w:p>
        </w:tc>
        <w:tc>
          <w:tcPr>
            <w:tcW w:type="dxa" w:w="1656"/>
            <w:shd w:val="clear" w:fill="F6F7F9"/>
          </w:tcPr>
          <w:p>
            <w:pPr>
              <w:spacing w:after="0" w:before="0"/>
              <w:jc w:val="right"/>
            </w:pPr>
            <w:r/>
            <w:r>
              <w:rPr>
                <w:sz w:val="17"/>
              </w:rPr>
              <w:t>(12)</w:t>
            </w:r>
          </w:p>
        </w:tc>
        <w:tc>
          <w:tcPr>
            <w:tcW w:type="dxa" w:w="1656"/>
            <w:shd w:val="clear" w:fill="F6F7F9"/>
          </w:tcPr>
          <w:p>
            <w:pPr>
              <w:spacing w:after="0" w:before="0"/>
              <w:jc w:val="right"/>
            </w:pPr>
            <w:r/>
            <w:r>
              <w:rPr>
                <w:sz w:val="17"/>
              </w:rPr>
              <w:t>30</w:t>
            </w:r>
          </w:p>
        </w:tc>
        <w:tc>
          <w:tcPr>
            <w:tcW w:type="dxa" w:w="1656"/>
            <w:shd w:val="clear" w:fill="F6F7F9"/>
          </w:tcPr>
          <w:p>
            <w:pPr>
              <w:spacing w:after="0" w:before="0"/>
              <w:jc w:val="right"/>
            </w:pPr>
            <w:r/>
            <w:r>
              <w:rPr>
                <w:sz w:val="17"/>
              </w:rPr>
              <w:t>54</w:t>
            </w:r>
          </w:p>
        </w:tc>
      </w:tr>
      <w:tr>
        <w:trPr>
          <w:cantSplit/>
        </w:trPr>
        <w:tc>
          <w:tcPr>
            <w:tcW w:type="dxa" w:w="1656"/>
          </w:tcPr>
          <w:p>
            <w:pPr>
              <w:spacing w:after="0" w:before="0"/>
            </w:pPr>
            <w:r/>
            <w:r>
              <w:rPr>
                <w:b/>
                <w:sz w:val="17"/>
              </w:rPr>
              <w:t>Margin</w:t>
            </w:r>
          </w:p>
        </w:tc>
        <w:tc>
          <w:tcPr>
            <w:tcW w:type="dxa" w:w="1656"/>
          </w:tcPr>
          <w:p>
            <w:pPr>
              <w:spacing w:after="0" w:before="0"/>
              <w:jc w:val="right"/>
            </w:pPr>
            <w:r/>
            <w:r>
              <w:rPr>
                <w:sz w:val="17"/>
              </w:rPr>
              <w:t>neg</w:t>
            </w:r>
          </w:p>
        </w:tc>
        <w:tc>
          <w:tcPr>
            <w:tcW w:type="dxa" w:w="1656"/>
          </w:tcPr>
          <w:p>
            <w:pPr>
              <w:spacing w:after="0" w:before="0"/>
              <w:jc w:val="right"/>
            </w:pPr>
            <w:r/>
            <w:r>
              <w:rPr>
                <w:sz w:val="17"/>
              </w:rPr>
              <w:t>neg</w:t>
            </w:r>
          </w:p>
        </w:tc>
        <w:tc>
          <w:tcPr>
            <w:tcW w:type="dxa" w:w="1656"/>
          </w:tcPr>
          <w:p>
            <w:pPr>
              <w:spacing w:after="0" w:before="0"/>
              <w:jc w:val="right"/>
            </w:pPr>
            <w:r/>
            <w:r>
              <w:rPr>
                <w:sz w:val="17"/>
              </w:rPr>
              <w:t>neg</w:t>
            </w:r>
          </w:p>
        </w:tc>
        <w:tc>
          <w:tcPr>
            <w:tcW w:type="dxa" w:w="1656"/>
          </w:tcPr>
          <w:p>
            <w:pPr>
              <w:spacing w:after="0" w:before="0"/>
              <w:jc w:val="right"/>
            </w:pPr>
            <w:r/>
            <w:r>
              <w:rPr>
                <w:sz w:val="17"/>
              </w:rPr>
              <w:t>23%</w:t>
            </w:r>
          </w:p>
        </w:tc>
        <w:tc>
          <w:tcPr>
            <w:tcW w:type="dxa" w:w="1656"/>
          </w:tcPr>
          <w:p>
            <w:pPr>
              <w:spacing w:after="0" w:before="0"/>
              <w:jc w:val="right"/>
            </w:pPr>
            <w:r/>
            <w:r>
              <w:rPr>
                <w:sz w:val="17"/>
              </w:rPr>
              <w:t>31%</w:t>
            </w:r>
          </w:p>
        </w:tc>
      </w:tr>
      <w:tr>
        <w:trPr>
          <w:cantSplit/>
        </w:trPr>
        <w:tc>
          <w:tcPr>
            <w:tcW w:type="dxa" w:w="1656"/>
            <w:shd w:val="clear" w:fill="F6F7F9"/>
          </w:tcPr>
          <w:p>
            <w:pPr>
              <w:spacing w:after="0" w:before="0"/>
            </w:pPr>
            <w:r/>
            <w:r>
              <w:rPr>
                <w:b/>
                <w:sz w:val="17"/>
              </w:rPr>
              <w:t>Net Income</w:t>
            </w:r>
          </w:p>
        </w:tc>
        <w:tc>
          <w:tcPr>
            <w:tcW w:type="dxa" w:w="1656"/>
            <w:shd w:val="clear" w:fill="F6F7F9"/>
          </w:tcPr>
          <w:p>
            <w:pPr>
              <w:spacing w:after="0" w:before="0"/>
              <w:jc w:val="right"/>
            </w:pPr>
            <w:r/>
            <w:r>
              <w:rPr>
                <w:sz w:val="17"/>
              </w:rPr>
              <w:t>(13)</w:t>
            </w:r>
          </w:p>
        </w:tc>
        <w:tc>
          <w:tcPr>
            <w:tcW w:type="dxa" w:w="1656"/>
            <w:shd w:val="clear" w:fill="F6F7F9"/>
          </w:tcPr>
          <w:p>
            <w:pPr>
              <w:spacing w:after="0" w:before="0"/>
              <w:jc w:val="right"/>
            </w:pPr>
            <w:r/>
            <w:r>
              <w:rPr>
                <w:sz w:val="17"/>
              </w:rPr>
              <w:t>(20)</w:t>
            </w:r>
          </w:p>
        </w:tc>
        <w:tc>
          <w:tcPr>
            <w:tcW w:type="dxa" w:w="1656"/>
            <w:shd w:val="clear" w:fill="F6F7F9"/>
          </w:tcPr>
          <w:p>
            <w:pPr>
              <w:spacing w:after="0" w:before="0"/>
              <w:jc w:val="right"/>
            </w:pPr>
            <w:r/>
            <w:r>
              <w:rPr>
                <w:sz w:val="17"/>
              </w:rPr>
              <w:t>(23)</w:t>
            </w:r>
          </w:p>
        </w:tc>
        <w:tc>
          <w:tcPr>
            <w:tcW w:type="dxa" w:w="1656"/>
            <w:shd w:val="clear" w:fill="F6F7F9"/>
          </w:tcPr>
          <w:p>
            <w:pPr>
              <w:spacing w:after="0" w:before="0"/>
              <w:jc w:val="right"/>
            </w:pPr>
            <w:r/>
            <w:r>
              <w:rPr>
                <w:sz w:val="17"/>
              </w:rPr>
              <w:t>9</w:t>
            </w:r>
          </w:p>
        </w:tc>
        <w:tc>
          <w:tcPr>
            <w:tcW w:type="dxa" w:w="1656"/>
            <w:shd w:val="clear" w:fill="F6F7F9"/>
          </w:tcPr>
          <w:p>
            <w:pPr>
              <w:spacing w:after="0" w:before="0"/>
              <w:jc w:val="right"/>
            </w:pPr>
            <w:r/>
            <w:r>
              <w:rPr>
                <w:sz w:val="17"/>
              </w:rPr>
              <w:t>30</w:t>
            </w:r>
          </w:p>
        </w:tc>
      </w:tr>
    </w:tbl>
    <w:p>
      <w:pPr>
        <w:spacing w:before="40" w:after="60" w:line="269" w:lineRule="auto"/>
        <w:jc w:val="left"/>
      </w:pPr>
      <w:r>
        <w:rPr>
          <w:b w:val="0"/>
          <w:i/>
          <w:color w:val="556A83"/>
          <w:sz w:val="16"/>
        </w:rPr>
        <w:t>Split fiscal year (30 June). Last public data available as of 30 June 2023.</w:t>
      </w:r>
    </w:p>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79107"/>
            <wp:docPr id="2" name="Picture 2"/>
            <wp:cNvGraphicFramePr>
              <a:graphicFrameLocks noChangeAspect="1"/>
            </wp:cNvGraphicFramePr>
            <a:graphic>
              <a:graphicData uri="http://schemas.openxmlformats.org/drawingml/2006/picture">
                <pic:pic>
                  <pic:nvPicPr>
                    <pic:cNvPr id="0" name="b988105af485c30b44bbc68319af9844.png"/>
                    <pic:cNvPicPr/>
                  </pic:nvPicPr>
                  <pic:blipFill>
                    <a:blip r:embed="rId10"/>
                    <a:stretch>
                      <a:fillRect/>
                    </a:stretch>
                  </pic:blipFill>
                  <pic:spPr>
                    <a:xfrm>
                      <a:off x="0" y="0"/>
                      <a:ext cx="5212080" cy="1879107"/>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Nasdaq Stockholm: ATHAN.</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Zutec</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Zutec provides next-generation, cloud-based software solutions for the construction, engineering and facilities-management industries. The business is customised to suit each client, with its headquarters in Dublin and a presence in London, Hong Kong, Doha, Abu Dhabi and Melbourne.</w:t>
      </w:r>
    </w:p>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The company is growing and winning new customers, but the market remains under pressure. It stands ready to accelerate its customer outreach and to build a highly scalable value proposition. Several smaller acquisitions have created additional value for the company’s customers while scaling the Zutec back-end platform. We see expansion potential among customers that own existing buildings.</w:t>
      </w:r>
    </w:p>
    <w:p>
      <w:pPr>
        <w:keepNext/>
        <w:spacing w:before="120" w:after="20" w:line="269" w:lineRule="auto"/>
        <w:jc w:val="left"/>
      </w:pPr>
      <w:r>
        <w:rPr>
          <w:b/>
          <w:i w:val="0"/>
          <w:color w:val="314359"/>
          <w:sz w:val="20"/>
        </w:rPr>
        <w:t>Recent events, Q3 2025/2026</w:t>
      </w:r>
    </w:p>
    <w:p>
      <w:pPr>
        <w:pStyle w:val="ListBullet"/>
        <w:spacing w:after="20"/>
      </w:pPr>
      <w:r>
        <w:rPr>
          <w:sz w:val="21"/>
        </w:rPr>
        <w:t>Sales grew 9% to £2.9m, with organic growth of −13% in Q3. Recurring revenues accounted for 97% of sales. The market in the UK remains challenging.</w:t>
      </w:r>
    </w:p>
    <w:p>
      <w:pPr>
        <w:pStyle w:val="ListBullet"/>
        <w:spacing w:after="20"/>
      </w:pPr>
      <w:r>
        <w:rPr>
          <w:sz w:val="21"/>
        </w:rPr>
        <w:t>Cash EBITDA was £0.6m, down from £1.2m a year earlier.</w:t>
      </w:r>
    </w:p>
    <w:p>
      <w:pPr>
        <w:pStyle w:val="ListBullet"/>
        <w:spacing w:after="20"/>
      </w:pPr>
      <w:r>
        <w:rPr>
          <w:sz w:val="21"/>
        </w:rPr>
        <w:t>Operating cash flow was zero, owing to seasonality.</w:t>
      </w:r>
    </w:p>
    <w:p>
      <w:pPr>
        <w:keepNext/>
        <w:spacing w:before="100" w:after="20" w:line="269" w:lineRule="auto"/>
        <w:jc w:val="left"/>
      </w:pPr>
      <w:r>
        <w:rPr>
          <w:b/>
          <w:i w:val="0"/>
          <w:color w:val="314359"/>
          <w:sz w:val="20"/>
        </w:rPr>
        <w:t>Share price &amp; traded volume (3-year)</w:t>
      </w:r>
    </w:p>
    <w:p>
      <w:pPr>
        <w:spacing w:before="40" w:after="60" w:line="269" w:lineRule="auto"/>
        <w:jc w:val="left"/>
      </w:pPr>
      <w:r>
        <w:rPr>
          <w:b w:val="0"/>
          <w:i/>
          <w:color w:val="556A83"/>
          <w:sz w:val="18"/>
        </w:rPr>
        <w:t>Zutec is a privately held subsidiary of Athanase Innovation; no public share-price or volume data is available.</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Somero</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Somero is the market leader, with an approximately 80% global market share in laser-screeding machines, which are used to level concrete in all types of buildings and floors. The Somero machine is decisive for US concrete contractors’ win rates when bidding for large floor areas (&gt;2,000 sqm), making its position near-monopolistic in those applications. Typical buildings in which it is used are warehouses and data centres.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$134m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$101m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3%</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11%</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Somero is facing a cyclical downturn as new-build activity in the US construction sector has slowed amid economic weakness and uncertainty. Despite this, Somero has managed its cost base well and has not lost market share. In our view, its unique market position, which underpins its earnings power, will prove even more valuable when the market recovers. In addition, there is further scope to extend the product range, as evidenced by the product launch this summer.</w:t>
      </w:r>
    </w:p>
    <w:p>
      <w:pPr>
        <w:keepNext/>
        <w:spacing w:before="120" w:after="20" w:line="269" w:lineRule="auto"/>
        <w:jc w:val="left"/>
      </w:pPr>
      <w:r>
        <w:rPr>
          <w:b/>
          <w:i w:val="0"/>
          <w:color w:val="314359"/>
          <w:sz w:val="20"/>
        </w:rPr>
        <w:t>Recent events, H2 2025</w:t>
      </w:r>
    </w:p>
    <w:p>
      <w:pPr>
        <w:pStyle w:val="ListBullet"/>
        <w:spacing w:after="20"/>
      </w:pPr>
      <w:r>
        <w:rPr>
          <w:sz w:val="21"/>
        </w:rPr>
        <w:t>Net sales in H2 2025 fell 14% year-on-year to $49m but rose 24% sequentially from H1 2025.</w:t>
      </w:r>
    </w:p>
    <w:p>
      <w:pPr>
        <w:pStyle w:val="ListBullet"/>
        <w:spacing w:after="20"/>
      </w:pPr>
      <w:r>
        <w:rPr>
          <w:sz w:val="21"/>
        </w:rPr>
        <w:t>Operating income declined to $9m in H2 2025 from $13m a year earlier.</w:t>
      </w:r>
    </w:p>
    <w:p>
      <w:pPr>
        <w:pStyle w:val="ListBullet"/>
        <w:spacing w:after="20"/>
      </w:pPr>
      <w:r>
        <w:rPr>
          <w:sz w:val="21"/>
        </w:rPr>
        <w:t>The company introduced two new, smaller models that will be sold to smaller concrete contractors to replace manual labour.</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rPr>
          <w:cantSplit/>
        </w:trPr>
        <w:tc>
          <w:tcPr>
            <w:tcW w:type="dxa" w:w="1419"/>
            <w:shd w:val="clear" w:fill="152130"/>
          </w:tcPr>
          <w:p>
            <w:pPr>
              <w:spacing w:after="0" w:before="0"/>
            </w:pPr>
            <w:r/>
            <w:r>
              <w:rPr>
                <w:b/>
                <w:color w:val="FFFFFF"/>
                <w:sz w:val="17"/>
              </w:rPr>
              <w:t>M USD</w:t>
            </w:r>
          </w:p>
        </w:tc>
        <w:tc>
          <w:tcPr>
            <w:tcW w:type="dxa" w:w="1419"/>
            <w:shd w:val="clear" w:fill="152130"/>
          </w:tcPr>
          <w:p>
            <w:pPr>
              <w:spacing w:after="0" w:before="0"/>
            </w:pPr>
            <w:r/>
            <w:r>
              <w:rPr>
                <w:b/>
                <w:color w:val="FFFFFF"/>
                <w:sz w:val="17"/>
              </w:rPr>
              <w:t>2020</w:t>
            </w:r>
          </w:p>
        </w:tc>
        <w:tc>
          <w:tcPr>
            <w:tcW w:type="dxa" w:w="1419"/>
            <w:shd w:val="clear" w:fill="152130"/>
          </w:tcPr>
          <w:p>
            <w:pPr>
              <w:spacing w:after="0" w:before="0"/>
            </w:pPr>
            <w:r/>
            <w:r>
              <w:rPr>
                <w:b/>
                <w:color w:val="FFFFFF"/>
                <w:sz w:val="17"/>
              </w:rPr>
              <w:t>2021</w:t>
            </w:r>
          </w:p>
        </w:tc>
        <w:tc>
          <w:tcPr>
            <w:tcW w:type="dxa" w:w="1419"/>
            <w:shd w:val="clear" w:fill="152130"/>
          </w:tcPr>
          <w:p>
            <w:pPr>
              <w:spacing w:after="0" w:before="0"/>
            </w:pPr>
            <w:r/>
            <w:r>
              <w:rPr>
                <w:b/>
                <w:color w:val="FFFFFF"/>
                <w:sz w:val="17"/>
              </w:rPr>
              <w:t>2022</w:t>
            </w:r>
          </w:p>
        </w:tc>
        <w:tc>
          <w:tcPr>
            <w:tcW w:type="dxa" w:w="1419"/>
            <w:shd w:val="clear" w:fill="152130"/>
          </w:tcPr>
          <w:p>
            <w:pPr>
              <w:spacing w:after="0" w:before="0"/>
            </w:pPr>
            <w:r/>
            <w:r>
              <w:rPr>
                <w:b/>
                <w:color w:val="FFFFFF"/>
                <w:sz w:val="17"/>
              </w:rPr>
              <w:t>2023</w:t>
            </w:r>
          </w:p>
        </w:tc>
        <w:tc>
          <w:tcPr>
            <w:tcW w:type="dxa" w:w="1419"/>
            <w:shd w:val="clear" w:fill="152130"/>
          </w:tcPr>
          <w:p>
            <w:pPr>
              <w:spacing w:after="0" w:before="0"/>
            </w:pPr>
            <w:r/>
            <w:r>
              <w:rPr>
                <w:b/>
                <w:color w:val="FFFFFF"/>
                <w:sz w:val="17"/>
              </w:rPr>
              <w:t>2024</w:t>
            </w:r>
          </w:p>
        </w:tc>
        <w:tc>
          <w:tcPr>
            <w:tcW w:type="dxa" w:w="1419"/>
            <w:shd w:val="clear" w:fill="152130"/>
          </w:tcPr>
          <w:p>
            <w:pPr>
              <w:spacing w:after="0" w:before="0"/>
            </w:pPr>
            <w:r/>
            <w:r>
              <w:rPr>
                <w:b/>
                <w:color w:val="FFFFFF"/>
                <w:sz w:val="17"/>
              </w:rPr>
              <w:t>2025</w:t>
            </w:r>
          </w:p>
        </w:tc>
      </w:tr>
      <w:tr>
        <w:trPr>
          <w:cantSplit/>
        </w:trPr>
        <w:tc>
          <w:tcPr>
            <w:tcW w:type="dxa" w:w="1419"/>
          </w:tcPr>
          <w:p>
            <w:pPr>
              <w:spacing w:after="0" w:before="0"/>
            </w:pPr>
            <w:r/>
            <w:r>
              <w:rPr>
                <w:b/>
                <w:sz w:val="17"/>
              </w:rPr>
              <w:t>Net Revenue</w:t>
            </w:r>
          </w:p>
        </w:tc>
        <w:tc>
          <w:tcPr>
            <w:tcW w:type="dxa" w:w="1419"/>
          </w:tcPr>
          <w:p>
            <w:pPr>
              <w:spacing w:after="0" w:before="0"/>
              <w:jc w:val="right"/>
            </w:pPr>
            <w:r/>
            <w:r>
              <w:rPr>
                <w:sz w:val="17"/>
              </w:rPr>
              <w:t>89</w:t>
            </w:r>
          </w:p>
        </w:tc>
        <w:tc>
          <w:tcPr>
            <w:tcW w:type="dxa" w:w="1419"/>
          </w:tcPr>
          <w:p>
            <w:pPr>
              <w:spacing w:after="0" w:before="0"/>
              <w:jc w:val="right"/>
            </w:pPr>
            <w:r/>
            <w:r>
              <w:rPr>
                <w:sz w:val="17"/>
              </w:rPr>
              <w:t>133</w:t>
            </w:r>
          </w:p>
        </w:tc>
        <w:tc>
          <w:tcPr>
            <w:tcW w:type="dxa" w:w="1419"/>
          </w:tcPr>
          <w:p>
            <w:pPr>
              <w:spacing w:after="0" w:before="0"/>
              <w:jc w:val="right"/>
            </w:pPr>
            <w:r/>
            <w:r>
              <w:rPr>
                <w:sz w:val="17"/>
              </w:rPr>
              <w:t>133</w:t>
            </w:r>
          </w:p>
        </w:tc>
        <w:tc>
          <w:tcPr>
            <w:tcW w:type="dxa" w:w="1419"/>
          </w:tcPr>
          <w:p>
            <w:pPr>
              <w:spacing w:after="0" w:before="0"/>
              <w:jc w:val="right"/>
            </w:pPr>
            <w:r/>
            <w:r>
              <w:rPr>
                <w:sz w:val="17"/>
              </w:rPr>
              <w:t>120</w:t>
            </w:r>
          </w:p>
        </w:tc>
        <w:tc>
          <w:tcPr>
            <w:tcW w:type="dxa" w:w="1419"/>
          </w:tcPr>
          <w:p>
            <w:pPr>
              <w:spacing w:after="0" w:before="0"/>
              <w:jc w:val="right"/>
            </w:pPr>
            <w:r/>
            <w:r>
              <w:rPr>
                <w:sz w:val="17"/>
              </w:rPr>
              <w:t>109</w:t>
            </w:r>
          </w:p>
        </w:tc>
        <w:tc>
          <w:tcPr>
            <w:tcW w:type="dxa" w:w="1419"/>
          </w:tcPr>
          <w:p>
            <w:pPr>
              <w:spacing w:after="0" w:before="0"/>
              <w:jc w:val="right"/>
            </w:pPr>
            <w:r/>
            <w:r>
              <w:rPr>
                <w:sz w:val="17"/>
              </w:rPr>
              <w:t>89</w:t>
            </w:r>
          </w:p>
        </w:tc>
      </w:tr>
      <w:tr>
        <w:trPr>
          <w:cantSplit/>
        </w:trPr>
        <w:tc>
          <w:tcPr>
            <w:tcW w:type="dxa" w:w="1419"/>
            <w:shd w:val="clear" w:fill="F6F7F9"/>
          </w:tcPr>
          <w:p>
            <w:pPr>
              <w:spacing w:after="0" w:before="0"/>
            </w:pPr>
            <w:r/>
            <w:r>
              <w:rPr>
                <w:b/>
                <w:sz w:val="17"/>
              </w:rPr>
              <w:t>EBITA</w:t>
            </w:r>
          </w:p>
        </w:tc>
        <w:tc>
          <w:tcPr>
            <w:tcW w:type="dxa" w:w="1419"/>
            <w:shd w:val="clear" w:fill="F6F7F9"/>
          </w:tcPr>
          <w:p>
            <w:pPr>
              <w:spacing w:after="0" w:before="0"/>
              <w:jc w:val="right"/>
            </w:pPr>
            <w:r/>
            <w:r>
              <w:rPr>
                <w:sz w:val="17"/>
              </w:rPr>
              <w:t>24</w:t>
            </w:r>
          </w:p>
        </w:tc>
        <w:tc>
          <w:tcPr>
            <w:tcW w:type="dxa" w:w="1419"/>
            <w:shd w:val="clear" w:fill="F6F7F9"/>
          </w:tcPr>
          <w:p>
            <w:pPr>
              <w:spacing w:after="0" w:before="0"/>
              <w:jc w:val="right"/>
            </w:pPr>
            <w:r/>
            <w:r>
              <w:rPr>
                <w:sz w:val="17"/>
              </w:rPr>
              <w:t>45</w:t>
            </w:r>
          </w:p>
        </w:tc>
        <w:tc>
          <w:tcPr>
            <w:tcW w:type="dxa" w:w="1419"/>
            <w:shd w:val="clear" w:fill="F6F7F9"/>
          </w:tcPr>
          <w:p>
            <w:pPr>
              <w:spacing w:after="0" w:before="0"/>
              <w:jc w:val="right"/>
            </w:pPr>
            <w:r/>
            <w:r>
              <w:rPr>
                <w:sz w:val="17"/>
              </w:rPr>
              <w:t>43</w:t>
            </w:r>
          </w:p>
        </w:tc>
        <w:tc>
          <w:tcPr>
            <w:tcW w:type="dxa" w:w="1419"/>
            <w:shd w:val="clear" w:fill="F6F7F9"/>
          </w:tcPr>
          <w:p>
            <w:pPr>
              <w:spacing w:after="0" w:before="0"/>
              <w:jc w:val="right"/>
            </w:pPr>
            <w:r/>
            <w:r>
              <w:rPr>
                <w:sz w:val="17"/>
              </w:rPr>
              <w:t>34</w:t>
            </w:r>
          </w:p>
        </w:tc>
        <w:tc>
          <w:tcPr>
            <w:tcW w:type="dxa" w:w="1419"/>
            <w:shd w:val="clear" w:fill="F6F7F9"/>
          </w:tcPr>
          <w:p>
            <w:pPr>
              <w:spacing w:after="0" w:before="0"/>
              <w:jc w:val="right"/>
            </w:pPr>
            <w:r/>
            <w:r>
              <w:rPr>
                <w:sz w:val="17"/>
              </w:rPr>
              <w:t>24</w:t>
            </w:r>
          </w:p>
        </w:tc>
        <w:tc>
          <w:tcPr>
            <w:tcW w:type="dxa" w:w="1419"/>
            <w:shd w:val="clear" w:fill="F6F7F9"/>
          </w:tcPr>
          <w:p>
            <w:pPr>
              <w:spacing w:after="0" w:before="0"/>
              <w:jc w:val="right"/>
            </w:pPr>
            <w:r/>
            <w:r>
              <w:rPr>
                <w:sz w:val="17"/>
              </w:rPr>
              <w:t>18</w:t>
            </w:r>
          </w:p>
        </w:tc>
      </w:tr>
      <w:tr>
        <w:trPr>
          <w:cantSplit/>
        </w:trPr>
        <w:tc>
          <w:tcPr>
            <w:tcW w:type="dxa" w:w="1419"/>
          </w:tcPr>
          <w:p>
            <w:pPr>
              <w:spacing w:after="0" w:before="0"/>
            </w:pPr>
            <w:r/>
            <w:r>
              <w:rPr>
                <w:b/>
                <w:sz w:val="17"/>
              </w:rPr>
              <w:t>Margin</w:t>
            </w:r>
          </w:p>
        </w:tc>
        <w:tc>
          <w:tcPr>
            <w:tcW w:type="dxa" w:w="1419"/>
          </w:tcPr>
          <w:p>
            <w:pPr>
              <w:spacing w:after="0" w:before="0"/>
              <w:jc w:val="right"/>
            </w:pPr>
            <w:r/>
            <w:r>
              <w:rPr>
                <w:sz w:val="17"/>
              </w:rPr>
              <w:t>27%</w:t>
            </w:r>
          </w:p>
        </w:tc>
        <w:tc>
          <w:tcPr>
            <w:tcW w:type="dxa" w:w="1419"/>
          </w:tcPr>
          <w:p>
            <w:pPr>
              <w:spacing w:after="0" w:before="0"/>
              <w:jc w:val="right"/>
            </w:pPr>
            <w:r/>
            <w:r>
              <w:rPr>
                <w:sz w:val="17"/>
              </w:rPr>
              <w:t>34%</w:t>
            </w:r>
          </w:p>
        </w:tc>
        <w:tc>
          <w:tcPr>
            <w:tcW w:type="dxa" w:w="1419"/>
          </w:tcPr>
          <w:p>
            <w:pPr>
              <w:spacing w:after="0" w:before="0"/>
              <w:jc w:val="right"/>
            </w:pPr>
            <w:r/>
            <w:r>
              <w:rPr>
                <w:sz w:val="17"/>
              </w:rPr>
              <w:t>32%</w:t>
            </w:r>
          </w:p>
        </w:tc>
        <w:tc>
          <w:tcPr>
            <w:tcW w:type="dxa" w:w="1419"/>
          </w:tcPr>
          <w:p>
            <w:pPr>
              <w:spacing w:after="0" w:before="0"/>
              <w:jc w:val="right"/>
            </w:pPr>
            <w:r/>
            <w:r>
              <w:rPr>
                <w:sz w:val="17"/>
              </w:rPr>
              <w:t>28%</w:t>
            </w:r>
          </w:p>
        </w:tc>
        <w:tc>
          <w:tcPr>
            <w:tcW w:type="dxa" w:w="1419"/>
          </w:tcPr>
          <w:p>
            <w:pPr>
              <w:spacing w:after="0" w:before="0"/>
              <w:jc w:val="right"/>
            </w:pPr>
            <w:r/>
            <w:r>
              <w:rPr>
                <w:sz w:val="17"/>
              </w:rPr>
              <w:t>22%</w:t>
            </w:r>
          </w:p>
        </w:tc>
        <w:tc>
          <w:tcPr>
            <w:tcW w:type="dxa" w:w="1419"/>
          </w:tcPr>
          <w:p>
            <w:pPr>
              <w:spacing w:after="0" w:before="0"/>
              <w:jc w:val="right"/>
            </w:pPr>
            <w:r/>
            <w:r>
              <w:rPr>
                <w:sz w:val="17"/>
              </w:rPr>
              <w:t>16%</w:t>
            </w:r>
          </w:p>
        </w:tc>
      </w:tr>
      <w:tr>
        <w:trPr>
          <w:cantSplit/>
        </w:trPr>
        <w:tc>
          <w:tcPr>
            <w:tcW w:type="dxa" w:w="1419"/>
            <w:shd w:val="clear" w:fill="F6F7F9"/>
          </w:tcPr>
          <w:p>
            <w:pPr>
              <w:spacing w:after="0" w:before="0"/>
            </w:pPr>
            <w:r/>
            <w:r>
              <w:rPr>
                <w:b/>
                <w:sz w:val="17"/>
              </w:rPr>
              <w:t>Net Income</w:t>
            </w:r>
          </w:p>
        </w:tc>
        <w:tc>
          <w:tcPr>
            <w:tcW w:type="dxa" w:w="1419"/>
            <w:shd w:val="clear" w:fill="F6F7F9"/>
          </w:tcPr>
          <w:p>
            <w:pPr>
              <w:spacing w:after="0" w:before="0"/>
              <w:jc w:val="right"/>
            </w:pPr>
            <w:r/>
            <w:r>
              <w:rPr>
                <w:sz w:val="17"/>
              </w:rPr>
              <w:t>19</w:t>
            </w:r>
          </w:p>
        </w:tc>
        <w:tc>
          <w:tcPr>
            <w:tcW w:type="dxa" w:w="1419"/>
            <w:shd w:val="clear" w:fill="F6F7F9"/>
          </w:tcPr>
          <w:p>
            <w:pPr>
              <w:spacing w:after="0" w:before="0"/>
              <w:jc w:val="right"/>
            </w:pPr>
            <w:r/>
            <w:r>
              <w:rPr>
                <w:sz w:val="17"/>
              </w:rPr>
              <w:t>35</w:t>
            </w:r>
          </w:p>
        </w:tc>
        <w:tc>
          <w:tcPr>
            <w:tcW w:type="dxa" w:w="1419"/>
            <w:shd w:val="clear" w:fill="F6F7F9"/>
          </w:tcPr>
          <w:p>
            <w:pPr>
              <w:spacing w:after="0" w:before="0"/>
              <w:jc w:val="right"/>
            </w:pPr>
            <w:r/>
            <w:r>
              <w:rPr>
                <w:sz w:val="17"/>
              </w:rPr>
              <w:t>31</w:t>
            </w:r>
          </w:p>
        </w:tc>
        <w:tc>
          <w:tcPr>
            <w:tcW w:type="dxa" w:w="1419"/>
            <w:shd w:val="clear" w:fill="F6F7F9"/>
          </w:tcPr>
          <w:p>
            <w:pPr>
              <w:spacing w:after="0" w:before="0"/>
              <w:jc w:val="right"/>
            </w:pPr>
            <w:r/>
            <w:r>
              <w:rPr>
                <w:sz w:val="17"/>
              </w:rPr>
              <w:t>28</w:t>
            </w:r>
          </w:p>
        </w:tc>
        <w:tc>
          <w:tcPr>
            <w:tcW w:type="dxa" w:w="1419"/>
            <w:shd w:val="clear" w:fill="F6F7F9"/>
          </w:tcPr>
          <w:p>
            <w:pPr>
              <w:spacing w:after="0" w:before="0"/>
              <w:jc w:val="right"/>
            </w:pPr>
            <w:r/>
            <w:r>
              <w:rPr>
                <w:sz w:val="17"/>
              </w:rPr>
              <w:t>19</w:t>
            </w:r>
          </w:p>
        </w:tc>
        <w:tc>
          <w:tcPr>
            <w:tcW w:type="dxa" w:w="1419"/>
            <w:shd w:val="clear" w:fill="F6F7F9"/>
          </w:tcPr>
          <w:p>
            <w:pPr>
              <w:spacing w:after="0" w:before="0"/>
              <w:jc w:val="right"/>
            </w:pPr>
            <w:r/>
            <w:r>
              <w:rPr>
                <w:sz w:val="17"/>
              </w:rPr>
              <w:t>10</w:t>
            </w:r>
          </w:p>
        </w:tc>
      </w:tr>
    </w:tbl>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904302"/>
            <wp:docPr id="3" name="Picture 3"/>
            <wp:cNvGraphicFramePr>
              <a:graphicFrameLocks noChangeAspect="1"/>
            </wp:cNvGraphicFramePr>
            <a:graphic>
              <a:graphicData uri="http://schemas.openxmlformats.org/drawingml/2006/picture">
                <pic:pic>
                  <pic:nvPicPr>
                    <pic:cNvPr id="0" name="9af309de62a130768155ea368b44d295.png"/>
                    <pic:cNvPicPr/>
                  </pic:nvPicPr>
                  <pic:blipFill>
                    <a:blip r:embed="rId11"/>
                    <a:stretch>
                      <a:fillRect/>
                    </a:stretch>
                  </pic:blipFill>
                  <pic:spPr>
                    <a:xfrm>
                      <a:off x="0" y="0"/>
                      <a:ext cx="5212080" cy="1904302"/>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London Stock Exchange (AIM): SOM.</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TBK</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TBK is a long-standing Tier 1–2 supplier of safety-critical braking systems, retarders, asbestos-free linings, engine water and oil pumps, and other engine components for trucks and buses. The business is underpinned by long-term customer relationships and by products that are designed into the platforms of major commercial-vehicle OEMs. Once qualified, parts typically remain in place for the full model cycle, creating significant switching costs.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JPY 10,446 (unit per source)</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JPY 6,940 (unit per source)</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7%</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12%</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TBK has suffered from weak profitability, primarily owing to below-market pricing with its largest customer and an oversized manufacturing footprint in Japan. Drawing on our prior experience as the largest shareholder and a board member at Concentric and Haldex, we see potential operational improvements that could lift the operating margin to 10%. On that basis, the company would be trading at just 2x earnings.</w:t>
      </w:r>
    </w:p>
    <w:p>
      <w:pPr>
        <w:keepNext/>
        <w:spacing w:before="120" w:after="20" w:line="269" w:lineRule="auto"/>
        <w:jc w:val="left"/>
      </w:pPr>
      <w:r>
        <w:rPr>
          <w:b/>
          <w:i w:val="0"/>
          <w:color w:val="314359"/>
          <w:sz w:val="20"/>
        </w:rPr>
        <w:t>Recent events, FY 25/26</w:t>
      </w:r>
    </w:p>
    <w:p>
      <w:pPr>
        <w:pStyle w:val="ListBullet"/>
        <w:spacing w:after="20"/>
      </w:pPr>
      <w:r>
        <w:rPr>
          <w:sz w:val="21"/>
        </w:rPr>
        <w:t>Sales increased 0.6% to JPY 54.8bn for the full year.</w:t>
      </w:r>
    </w:p>
    <w:p>
      <w:pPr>
        <w:pStyle w:val="ListBullet"/>
        <w:spacing w:after="20"/>
      </w:pPr>
      <w:r>
        <w:rPr>
          <w:sz w:val="21"/>
        </w:rPr>
        <w:t>Gross margin strengthened to 12.5%, versus 10.6% a year earlier.</w:t>
      </w:r>
    </w:p>
    <w:p>
      <w:pPr>
        <w:pStyle w:val="ListBullet"/>
        <w:spacing w:after="20"/>
      </w:pPr>
      <w:r>
        <w:rPr>
          <w:sz w:val="21"/>
        </w:rPr>
        <w:t>EBIT improved to JPY 1,496m, compared with JPY 941m a year earlier.</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rPr>
          <w:cantSplit/>
        </w:trPr>
        <w:tc>
          <w:tcPr>
            <w:tcW w:type="dxa" w:w="1656"/>
            <w:shd w:val="clear" w:fill="152130"/>
          </w:tcPr>
          <w:p>
            <w:pPr>
              <w:spacing w:after="0" w:before="0"/>
            </w:pPr>
            <w:r/>
            <w:r>
              <w:rPr>
                <w:b/>
                <w:color w:val="FFFFFF"/>
                <w:sz w:val="17"/>
              </w:rPr>
              <w:t>BN JPY</w:t>
            </w:r>
          </w:p>
        </w:tc>
        <w:tc>
          <w:tcPr>
            <w:tcW w:type="dxa" w:w="1656"/>
            <w:shd w:val="clear" w:fill="152130"/>
          </w:tcPr>
          <w:p>
            <w:pPr>
              <w:spacing w:after="0" w:before="0"/>
            </w:pPr>
            <w:r/>
            <w:r>
              <w:rPr>
                <w:b/>
                <w:color w:val="FFFFFF"/>
                <w:sz w:val="17"/>
              </w:rPr>
              <w:t>21/22</w:t>
            </w:r>
          </w:p>
        </w:tc>
        <w:tc>
          <w:tcPr>
            <w:tcW w:type="dxa" w:w="1656"/>
            <w:shd w:val="clear" w:fill="152130"/>
          </w:tcPr>
          <w:p>
            <w:pPr>
              <w:spacing w:after="0" w:before="0"/>
            </w:pPr>
            <w:r/>
            <w:r>
              <w:rPr>
                <w:b/>
                <w:color w:val="FFFFFF"/>
                <w:sz w:val="17"/>
              </w:rPr>
              <w:t>22/23</w:t>
            </w:r>
          </w:p>
        </w:tc>
        <w:tc>
          <w:tcPr>
            <w:tcW w:type="dxa" w:w="1656"/>
            <w:shd w:val="clear" w:fill="152130"/>
          </w:tcPr>
          <w:p>
            <w:pPr>
              <w:spacing w:after="0" w:before="0"/>
            </w:pPr>
            <w:r/>
            <w:r>
              <w:rPr>
                <w:b/>
                <w:color w:val="FFFFFF"/>
                <w:sz w:val="17"/>
              </w:rPr>
              <w:t>23/24</w:t>
            </w:r>
          </w:p>
        </w:tc>
        <w:tc>
          <w:tcPr>
            <w:tcW w:type="dxa" w:w="1656"/>
            <w:shd w:val="clear" w:fill="152130"/>
          </w:tcPr>
          <w:p>
            <w:pPr>
              <w:spacing w:after="0" w:before="0"/>
            </w:pPr>
            <w:r/>
            <w:r>
              <w:rPr>
                <w:b/>
                <w:color w:val="FFFFFF"/>
                <w:sz w:val="17"/>
              </w:rPr>
              <w:t>24/25</w:t>
            </w:r>
          </w:p>
        </w:tc>
        <w:tc>
          <w:tcPr>
            <w:tcW w:type="dxa" w:w="1656"/>
            <w:shd w:val="clear" w:fill="152130"/>
          </w:tcPr>
          <w:p>
            <w:pPr>
              <w:spacing w:after="0" w:before="0"/>
            </w:pPr>
            <w:r/>
            <w:r>
              <w:rPr>
                <w:b/>
                <w:color w:val="FFFFFF"/>
                <w:sz w:val="17"/>
              </w:rPr>
              <w:t>25/26</w:t>
            </w:r>
          </w:p>
        </w:tc>
      </w:tr>
      <w:tr>
        <w:trPr>
          <w:cantSplit/>
        </w:trPr>
        <w:tc>
          <w:tcPr>
            <w:tcW w:type="dxa" w:w="1656"/>
          </w:tcPr>
          <w:p>
            <w:pPr>
              <w:spacing w:after="0" w:before="0"/>
            </w:pPr>
            <w:r/>
            <w:r>
              <w:rPr>
                <w:b/>
                <w:sz w:val="17"/>
              </w:rPr>
              <w:t>Net Revenue</w:t>
            </w:r>
          </w:p>
        </w:tc>
        <w:tc>
          <w:tcPr>
            <w:tcW w:type="dxa" w:w="1656"/>
          </w:tcPr>
          <w:p>
            <w:pPr>
              <w:spacing w:after="0" w:before="0"/>
              <w:jc w:val="right"/>
            </w:pPr>
            <w:r/>
            <w:r>
              <w:rPr>
                <w:sz w:val="17"/>
              </w:rPr>
              <w:t>51</w:t>
            </w:r>
          </w:p>
        </w:tc>
        <w:tc>
          <w:tcPr>
            <w:tcW w:type="dxa" w:w="1656"/>
          </w:tcPr>
          <w:p>
            <w:pPr>
              <w:spacing w:after="0" w:before="0"/>
              <w:jc w:val="right"/>
            </w:pPr>
            <w:r/>
            <w:r>
              <w:rPr>
                <w:sz w:val="17"/>
              </w:rPr>
              <w:t>54</w:t>
            </w:r>
          </w:p>
        </w:tc>
        <w:tc>
          <w:tcPr>
            <w:tcW w:type="dxa" w:w="1656"/>
          </w:tcPr>
          <w:p>
            <w:pPr>
              <w:spacing w:after="0" w:before="0"/>
              <w:jc w:val="right"/>
            </w:pPr>
            <w:r/>
            <w:r>
              <w:rPr>
                <w:sz w:val="17"/>
              </w:rPr>
              <w:t>57</w:t>
            </w:r>
          </w:p>
        </w:tc>
        <w:tc>
          <w:tcPr>
            <w:tcW w:type="dxa" w:w="1656"/>
          </w:tcPr>
          <w:p>
            <w:pPr>
              <w:spacing w:after="0" w:before="0"/>
              <w:jc w:val="right"/>
            </w:pPr>
            <w:r/>
            <w:r>
              <w:rPr>
                <w:sz w:val="17"/>
              </w:rPr>
              <w:t>54</w:t>
            </w:r>
          </w:p>
        </w:tc>
        <w:tc>
          <w:tcPr>
            <w:tcW w:type="dxa" w:w="1656"/>
          </w:tcPr>
          <w:p>
            <w:pPr>
              <w:spacing w:after="0" w:before="0"/>
              <w:jc w:val="right"/>
            </w:pPr>
            <w:r/>
            <w:r>
              <w:rPr>
                <w:sz w:val="17"/>
              </w:rPr>
              <w:t>55</w:t>
            </w:r>
          </w:p>
        </w:tc>
      </w:tr>
      <w:tr>
        <w:trPr>
          <w:cantSplit/>
        </w:trPr>
        <w:tc>
          <w:tcPr>
            <w:tcW w:type="dxa" w:w="1656"/>
            <w:shd w:val="clear" w:fill="F6F7F9"/>
          </w:tcPr>
          <w:p>
            <w:pPr>
              <w:spacing w:after="0" w:before="0"/>
            </w:pPr>
            <w:r/>
            <w:r>
              <w:rPr>
                <w:b/>
                <w:sz w:val="17"/>
              </w:rPr>
              <w:t>EBIT</w:t>
            </w:r>
          </w:p>
        </w:tc>
        <w:tc>
          <w:tcPr>
            <w:tcW w:type="dxa" w:w="1656"/>
            <w:shd w:val="clear" w:fill="F6F7F9"/>
          </w:tcPr>
          <w:p>
            <w:pPr>
              <w:spacing w:after="0" w:before="0"/>
              <w:jc w:val="right"/>
            </w:pPr>
            <w:r/>
            <w:r>
              <w:rPr>
                <w:sz w:val="17"/>
              </w:rPr>
              <w:t>0.6</w:t>
            </w:r>
          </w:p>
        </w:tc>
        <w:tc>
          <w:tcPr>
            <w:tcW w:type="dxa" w:w="1656"/>
            <w:shd w:val="clear" w:fill="F6F7F9"/>
          </w:tcPr>
          <w:p>
            <w:pPr>
              <w:spacing w:after="0" w:before="0"/>
              <w:jc w:val="right"/>
            </w:pPr>
            <w:r/>
            <w:r>
              <w:rPr>
                <w:sz w:val="17"/>
              </w:rPr>
              <w:t>(0.6)</w:t>
            </w:r>
          </w:p>
        </w:tc>
        <w:tc>
          <w:tcPr>
            <w:tcW w:type="dxa" w:w="1656"/>
            <w:shd w:val="clear" w:fill="F6F7F9"/>
          </w:tcPr>
          <w:p>
            <w:pPr>
              <w:spacing w:after="0" w:before="0"/>
              <w:jc w:val="right"/>
            </w:pPr>
            <w:r/>
            <w:r>
              <w:rPr>
                <w:sz w:val="17"/>
              </w:rPr>
              <w:t>0.9</w:t>
            </w:r>
          </w:p>
        </w:tc>
        <w:tc>
          <w:tcPr>
            <w:tcW w:type="dxa" w:w="1656"/>
            <w:shd w:val="clear" w:fill="F6F7F9"/>
          </w:tcPr>
          <w:p>
            <w:pPr>
              <w:spacing w:after="0" w:before="0"/>
              <w:jc w:val="right"/>
            </w:pPr>
            <w:r/>
            <w:r>
              <w:rPr>
                <w:sz w:val="17"/>
              </w:rPr>
              <w:t>1.0</w:t>
            </w:r>
          </w:p>
        </w:tc>
        <w:tc>
          <w:tcPr>
            <w:tcW w:type="dxa" w:w="1656"/>
            <w:shd w:val="clear" w:fill="F6F7F9"/>
          </w:tcPr>
          <w:p>
            <w:pPr>
              <w:spacing w:after="0" w:before="0"/>
              <w:jc w:val="right"/>
            </w:pPr>
            <w:r/>
            <w:r>
              <w:rPr>
                <w:sz w:val="17"/>
              </w:rPr>
              <w:t>1.5</w:t>
            </w:r>
          </w:p>
        </w:tc>
      </w:tr>
      <w:tr>
        <w:trPr>
          <w:cantSplit/>
        </w:trPr>
        <w:tc>
          <w:tcPr>
            <w:tcW w:type="dxa" w:w="1656"/>
          </w:tcPr>
          <w:p>
            <w:pPr>
              <w:spacing w:after="0" w:before="0"/>
            </w:pPr>
            <w:r/>
            <w:r>
              <w:rPr>
                <w:b/>
                <w:sz w:val="17"/>
              </w:rPr>
              <w:t>Margin</w:t>
            </w:r>
          </w:p>
        </w:tc>
        <w:tc>
          <w:tcPr>
            <w:tcW w:type="dxa" w:w="1656"/>
          </w:tcPr>
          <w:p>
            <w:pPr>
              <w:spacing w:after="0" w:before="0"/>
              <w:jc w:val="right"/>
            </w:pPr>
            <w:r/>
            <w:r>
              <w:rPr>
                <w:sz w:val="17"/>
              </w:rPr>
              <w:t>1.2%</w:t>
            </w:r>
          </w:p>
        </w:tc>
        <w:tc>
          <w:tcPr>
            <w:tcW w:type="dxa" w:w="1656"/>
          </w:tcPr>
          <w:p>
            <w:pPr>
              <w:spacing w:after="0" w:before="0"/>
              <w:jc w:val="right"/>
            </w:pPr>
            <w:r/>
            <w:r>
              <w:rPr>
                <w:sz w:val="17"/>
              </w:rPr>
              <w:t>-1.2%</w:t>
            </w:r>
          </w:p>
        </w:tc>
        <w:tc>
          <w:tcPr>
            <w:tcW w:type="dxa" w:w="1656"/>
          </w:tcPr>
          <w:p>
            <w:pPr>
              <w:spacing w:after="0" w:before="0"/>
              <w:jc w:val="right"/>
            </w:pPr>
            <w:r/>
            <w:r>
              <w:rPr>
                <w:sz w:val="17"/>
              </w:rPr>
              <w:t>1.6%</w:t>
            </w:r>
          </w:p>
        </w:tc>
        <w:tc>
          <w:tcPr>
            <w:tcW w:type="dxa" w:w="1656"/>
          </w:tcPr>
          <w:p>
            <w:pPr>
              <w:spacing w:after="0" w:before="0"/>
              <w:jc w:val="right"/>
            </w:pPr>
            <w:r/>
            <w:r>
              <w:rPr>
                <w:sz w:val="17"/>
              </w:rPr>
              <w:t>1.7%</w:t>
            </w:r>
          </w:p>
        </w:tc>
        <w:tc>
          <w:tcPr>
            <w:tcW w:type="dxa" w:w="1656"/>
          </w:tcPr>
          <w:p>
            <w:pPr>
              <w:spacing w:after="0" w:before="0"/>
              <w:jc w:val="right"/>
            </w:pPr>
            <w:r/>
            <w:r>
              <w:rPr>
                <w:sz w:val="17"/>
              </w:rPr>
              <w:t>2.7%</w:t>
            </w:r>
          </w:p>
        </w:tc>
      </w:tr>
      <w:tr>
        <w:trPr>
          <w:cantSplit/>
        </w:trPr>
        <w:tc>
          <w:tcPr>
            <w:tcW w:type="dxa" w:w="1656"/>
            <w:shd w:val="clear" w:fill="F6F7F9"/>
          </w:tcPr>
          <w:p>
            <w:pPr>
              <w:spacing w:after="0" w:before="0"/>
            </w:pPr>
            <w:r/>
            <w:r>
              <w:rPr>
                <w:b/>
                <w:sz w:val="17"/>
              </w:rPr>
              <w:t>Net Income</w:t>
            </w:r>
          </w:p>
        </w:tc>
        <w:tc>
          <w:tcPr>
            <w:tcW w:type="dxa" w:w="1656"/>
            <w:shd w:val="clear" w:fill="F6F7F9"/>
          </w:tcPr>
          <w:p>
            <w:pPr>
              <w:spacing w:after="0" w:before="0"/>
              <w:jc w:val="right"/>
            </w:pPr>
            <w:r/>
            <w:r>
              <w:rPr>
                <w:sz w:val="17"/>
              </w:rPr>
              <w:t>0.8</w:t>
            </w:r>
          </w:p>
        </w:tc>
        <w:tc>
          <w:tcPr>
            <w:tcW w:type="dxa" w:w="1656"/>
            <w:shd w:val="clear" w:fill="F6F7F9"/>
          </w:tcPr>
          <w:p>
            <w:pPr>
              <w:spacing w:after="0" w:before="0"/>
              <w:jc w:val="right"/>
            </w:pPr>
            <w:r/>
            <w:r>
              <w:rPr>
                <w:sz w:val="17"/>
              </w:rPr>
              <w:t>-2.1</w:t>
            </w:r>
          </w:p>
        </w:tc>
        <w:tc>
          <w:tcPr>
            <w:tcW w:type="dxa" w:w="1656"/>
            <w:shd w:val="clear" w:fill="F6F7F9"/>
          </w:tcPr>
          <w:p>
            <w:pPr>
              <w:spacing w:after="0" w:before="0"/>
              <w:jc w:val="right"/>
            </w:pPr>
            <w:r/>
            <w:r>
              <w:rPr>
                <w:sz w:val="17"/>
              </w:rPr>
              <w:t>0.3</w:t>
            </w:r>
          </w:p>
        </w:tc>
        <w:tc>
          <w:tcPr>
            <w:tcW w:type="dxa" w:w="1656"/>
            <w:shd w:val="clear" w:fill="F6F7F9"/>
          </w:tcPr>
          <w:p>
            <w:pPr>
              <w:spacing w:after="0" w:before="0"/>
              <w:jc w:val="right"/>
            </w:pPr>
            <w:r/>
            <w:r>
              <w:rPr>
                <w:sz w:val="17"/>
              </w:rPr>
              <w:t>-1.2</w:t>
            </w:r>
          </w:p>
        </w:tc>
        <w:tc>
          <w:tcPr>
            <w:tcW w:type="dxa" w:w="1656"/>
            <w:shd w:val="clear" w:fill="F6F7F9"/>
          </w:tcPr>
          <w:p>
            <w:pPr>
              <w:spacing w:after="0" w:before="0"/>
              <w:jc w:val="right"/>
            </w:pPr>
            <w:r/>
            <w:r>
              <w:rPr>
                <w:sz w:val="17"/>
              </w:rPr>
              <w:t>0</w:t>
            </w:r>
          </w:p>
        </w:tc>
      </w:tr>
    </w:tbl>
    <w:p>
      <w:pPr>
        <w:spacing w:before="40" w:after="60" w:line="269" w:lineRule="auto"/>
        <w:jc w:val="left"/>
      </w:pPr>
      <w:r>
        <w:rPr>
          <w:b w:val="0"/>
          <w:i/>
          <w:color w:val="556A83"/>
          <w:sz w:val="16"/>
        </w:rPr>
        <w:t>Source labels market cap/EV as “BN JPY”, which is inconsistent with ¥55bn revenue — likely a unit error in the original; reproduced as printed.</w:t>
      </w:r>
    </w:p>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904302"/>
            <wp:docPr id="4" name="Picture 4"/>
            <wp:cNvGraphicFramePr>
              <a:graphicFrameLocks noChangeAspect="1"/>
            </wp:cNvGraphicFramePr>
            <a:graphic>
              <a:graphicData uri="http://schemas.openxmlformats.org/drawingml/2006/picture">
                <pic:pic>
                  <pic:nvPicPr>
                    <pic:cNvPr id="0" name="06de9a45c089ea5fa8c12cd3ffb974a7.png"/>
                    <pic:cNvPicPr/>
                  </pic:nvPicPr>
                  <pic:blipFill>
                    <a:blip r:embed="rId12"/>
                    <a:stretch>
                      <a:fillRect/>
                    </a:stretch>
                  </pic:blipFill>
                  <pic:spPr>
                    <a:xfrm>
                      <a:off x="0" y="0"/>
                      <a:ext cx="5212080" cy="1904302"/>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Tokyo Stock Exchange: 7277.</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Evolution</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Evolution is the dominant global B2B supplier of live-dealer casino games, with a growing RNG-slots business. Its moat rests on economies of scale created by studio capacity and uptime, a global regulatory footprint, hit-driven IP and game shows, deep operator integrations, and industry-leading margins that fund rapid product roll-out and new studios. Evolution earns a revenue share per game round at structurally high incremental returns, as there can be an unlimited number of players per table.</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SEK 116,917m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SEK 104,909m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&lt;1%</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4%</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Evolution’s valuation has been affected by three main developments: (1) a report sponsored by a competitor (Playtech) alleging that the company has sold games to sanctioned countries — an allegation the company has rejected; both the New Jersey and Philadelphia gaming commissions have conducted audits and cleared the firm of wrongdoing. After significant due diligence, our conclusion is that Evolution is overstating the impact of cybercrime in order to mask poor execution in localising its games. (2) The UK regulator launched an investigation into games offered in the UK by Evolution through unregulated operators. The company is working with the regulator and has limited distribution to locally licensed operators in the UK and the rest of Europe, despite no such request from the regulator.</w:t>
      </w:r>
    </w:p>
    <w:p>
      <w:pPr>
        <w:spacing w:before="40" w:after="60" w:line="269" w:lineRule="auto"/>
        <w:jc w:val="left"/>
      </w:pPr>
      <w:r>
        <w:rPr>
          <w:b w:val="0"/>
          <w:i w:val="0"/>
          <w:sz w:val="21"/>
        </w:rPr>
        <w:t>We believe that Evolution could double in value on a per-share basis within three years, driven by a combination of a re-rating of its multiple, earnings growth and share buybacks.</w:t>
      </w:r>
    </w:p>
    <w:p>
      <w:pPr>
        <w:keepNext/>
        <w:spacing w:before="120" w:after="20" w:line="269" w:lineRule="auto"/>
        <w:jc w:val="left"/>
      </w:pPr>
      <w:r>
        <w:rPr>
          <w:b/>
          <w:i w:val="0"/>
          <w:color w:val="314359"/>
          <w:sz w:val="20"/>
        </w:rPr>
        <w:t>Recent events, Q1 2026</w:t>
      </w:r>
    </w:p>
    <w:p>
      <w:pPr>
        <w:pStyle w:val="ListBullet"/>
        <w:spacing w:after="20"/>
      </w:pPr>
      <w:r>
        <w:rPr>
          <w:sz w:val="21"/>
        </w:rPr>
        <w:t>Net revenues decreased by 2% to €513m, with Asian demand growing slightly quarter-on-quarter for the second consecutive quarter.</w:t>
      </w:r>
    </w:p>
    <w:p>
      <w:pPr>
        <w:pStyle w:val="ListBullet"/>
        <w:spacing w:after="20"/>
      </w:pPr>
      <w:r>
        <w:rPr>
          <w:sz w:val="21"/>
        </w:rPr>
        <w:t>Europe recorded another weak quarter, down 6%, with management attributing this to illegal gaming operators taking share.</w:t>
      </w:r>
    </w:p>
    <w:p>
      <w:pPr>
        <w:pStyle w:val="ListBullet"/>
        <w:spacing w:after="20"/>
      </w:pPr>
      <w:r>
        <w:rPr>
          <w:sz w:val="21"/>
        </w:rPr>
        <w:t>North America continued to grow in Q1, up 21% year-on-year.</w:t>
      </w:r>
    </w:p>
    <w:p>
      <w:pPr>
        <w:pStyle w:val="ListBullet"/>
        <w:spacing w:after="20"/>
      </w:pPr>
      <w:r>
        <w:rPr>
          <w:sz w:val="21"/>
        </w:rPr>
        <w:t>The company has a very active 2026 ahead, with numerous new game launches.</w:t>
      </w:r>
    </w:p>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95829"/>
            <wp:docPr id="5" name="Picture 5"/>
            <wp:cNvGraphicFramePr>
              <a:graphicFrameLocks noChangeAspect="1"/>
            </wp:cNvGraphicFramePr>
            <a:graphic>
              <a:graphicData uri="http://schemas.openxmlformats.org/drawingml/2006/picture">
                <pic:pic>
                  <pic:nvPicPr>
                    <pic:cNvPr id="0" name="42f0d762a8587dbb364ddde4f6a4fc6d.png"/>
                    <pic:cNvPicPr/>
                  </pic:nvPicPr>
                  <pic:blipFill>
                    <a:blip r:embed="rId13"/>
                    <a:stretch>
                      <a:fillRect/>
                    </a:stretch>
                  </pic:blipFill>
                  <pic:spPr>
                    <a:xfrm>
                      <a:off x="0" y="0"/>
                      <a:ext cx="5212080" cy="1895829"/>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Nasdaq Stockholm: EVO.</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Röko</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Röko invests its equity capital from its own balance sheet into stable and profitable companies with strong market positions in their respective niche markets. It is a long-term owner focused on independent governance, and the companies it acquires have a proven track record of growing profits over time. Röko’s core principles are empowerment, simplicity and continuous improvement.</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SEK 22,082m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SEK 25,798m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&lt;1%</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9%</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We were part of the initial group of investors who supported Fredrik Karlsson and Tomas Billing in the formation of the company. Fredrik in particular had been highly successful in building Lifco, a company whose value increased approximately 100-fold over a 20-year period. Röko’s investment model is based on continuously reinvesting its cash flow into new companies while simultaneously improving the profitability of its existing companies.</w:t>
      </w:r>
    </w:p>
    <w:p>
      <w:pPr>
        <w:keepNext/>
        <w:spacing w:before="120" w:after="20" w:line="269" w:lineRule="auto"/>
        <w:jc w:val="left"/>
      </w:pPr>
      <w:r>
        <w:rPr>
          <w:b/>
          <w:i w:val="0"/>
          <w:color w:val="314359"/>
          <w:sz w:val="20"/>
        </w:rPr>
        <w:t>Recent events, Q1 2026</w:t>
      </w:r>
    </w:p>
    <w:p>
      <w:pPr>
        <w:pStyle w:val="ListBullet"/>
        <w:spacing w:after="20"/>
      </w:pPr>
      <w:r>
        <w:rPr>
          <w:sz w:val="21"/>
        </w:rPr>
        <w:t>Net sales grew 6% organically year-on-year to SEK 1,853m in Q1.</w:t>
      </w:r>
    </w:p>
    <w:p>
      <w:pPr>
        <w:pStyle w:val="ListBullet"/>
        <w:spacing w:after="20"/>
      </w:pPr>
      <w:r>
        <w:rPr>
          <w:sz w:val="21"/>
        </w:rPr>
        <w:t>EBITA increased 5% to SEK 415m.</w:t>
      </w:r>
    </w:p>
    <w:p>
      <w:pPr>
        <w:pStyle w:val="ListBullet"/>
        <w:spacing w:after="20"/>
      </w:pPr>
      <w:r>
        <w:rPr>
          <w:sz w:val="21"/>
        </w:rPr>
        <w:t>Fredrik Karlsson stepped down as CEO to become deputy CEO; Johan Bladh was appointed as the new CEO.</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rPr>
          <w:cantSplit/>
        </w:trPr>
        <w:tc>
          <w:tcPr>
            <w:tcW w:type="dxa" w:w="1656"/>
            <w:shd w:val="clear" w:fill="152130"/>
          </w:tcPr>
          <w:p>
            <w:pPr>
              <w:spacing w:after="0" w:before="0"/>
            </w:pPr>
            <w:r/>
            <w:r>
              <w:rPr>
                <w:b/>
                <w:color w:val="FFFFFF"/>
                <w:sz w:val="17"/>
              </w:rPr>
              <w:t>MSEK</w:t>
            </w:r>
          </w:p>
        </w:tc>
        <w:tc>
          <w:tcPr>
            <w:tcW w:type="dxa" w:w="1656"/>
            <w:shd w:val="clear" w:fill="152130"/>
          </w:tcPr>
          <w:p>
            <w:pPr>
              <w:spacing w:after="0" w:before="0"/>
            </w:pPr>
            <w:r/>
            <w:r>
              <w:rPr>
                <w:b/>
                <w:color w:val="FFFFFF"/>
                <w:sz w:val="17"/>
              </w:rPr>
              <w:t>2022</w:t>
            </w:r>
          </w:p>
        </w:tc>
        <w:tc>
          <w:tcPr>
            <w:tcW w:type="dxa" w:w="1656"/>
            <w:shd w:val="clear" w:fill="152130"/>
          </w:tcPr>
          <w:p>
            <w:pPr>
              <w:spacing w:after="0" w:before="0"/>
            </w:pPr>
            <w:r/>
            <w:r>
              <w:rPr>
                <w:b/>
                <w:color w:val="FFFFFF"/>
                <w:sz w:val="17"/>
              </w:rPr>
              <w:t>2023</w:t>
            </w:r>
          </w:p>
        </w:tc>
        <w:tc>
          <w:tcPr>
            <w:tcW w:type="dxa" w:w="1656"/>
            <w:shd w:val="clear" w:fill="152130"/>
          </w:tcPr>
          <w:p>
            <w:pPr>
              <w:spacing w:after="0" w:before="0"/>
            </w:pPr>
            <w:r/>
            <w:r>
              <w:rPr>
                <w:b/>
                <w:color w:val="FFFFFF"/>
                <w:sz w:val="17"/>
              </w:rPr>
              <w:t>2024</w:t>
            </w:r>
          </w:p>
        </w:tc>
        <w:tc>
          <w:tcPr>
            <w:tcW w:type="dxa" w:w="1656"/>
            <w:shd w:val="clear" w:fill="152130"/>
          </w:tcPr>
          <w:p>
            <w:pPr>
              <w:spacing w:after="0" w:before="0"/>
            </w:pPr>
            <w:r/>
            <w:r>
              <w:rPr>
                <w:b/>
                <w:color w:val="FFFFFF"/>
                <w:sz w:val="17"/>
              </w:rPr>
              <w:t>2025</w:t>
            </w:r>
          </w:p>
        </w:tc>
        <w:tc>
          <w:tcPr>
            <w:tcW w:type="dxa" w:w="1656"/>
            <w:shd w:val="clear" w:fill="152130"/>
          </w:tcPr>
          <w:p>
            <w:pPr>
              <w:spacing w:after="0" w:before="0"/>
            </w:pPr>
            <w:r/>
            <w:r>
              <w:rPr>
                <w:b/>
                <w:color w:val="FFFFFF"/>
                <w:sz w:val="17"/>
              </w:rPr>
              <w:t>Q1 2026</w:t>
            </w:r>
          </w:p>
        </w:tc>
      </w:tr>
      <w:tr>
        <w:trPr>
          <w:cantSplit/>
        </w:trPr>
        <w:tc>
          <w:tcPr>
            <w:tcW w:type="dxa" w:w="1656"/>
          </w:tcPr>
          <w:p>
            <w:pPr>
              <w:spacing w:after="0" w:before="0"/>
            </w:pPr>
            <w:r/>
            <w:r>
              <w:rPr>
                <w:b/>
                <w:sz w:val="17"/>
              </w:rPr>
              <w:t>Net Revenue</w:t>
            </w:r>
          </w:p>
        </w:tc>
        <w:tc>
          <w:tcPr>
            <w:tcW w:type="dxa" w:w="1656"/>
          </w:tcPr>
          <w:p>
            <w:pPr>
              <w:spacing w:after="0" w:before="0"/>
              <w:jc w:val="right"/>
            </w:pPr>
            <w:r/>
            <w:r>
              <w:rPr>
                <w:sz w:val="17"/>
              </w:rPr>
              <w:t>4,313</w:t>
            </w:r>
          </w:p>
        </w:tc>
        <w:tc>
          <w:tcPr>
            <w:tcW w:type="dxa" w:w="1656"/>
          </w:tcPr>
          <w:p>
            <w:pPr>
              <w:spacing w:after="0" w:before="0"/>
              <w:jc w:val="right"/>
            </w:pPr>
            <w:r/>
            <w:r>
              <w:rPr>
                <w:sz w:val="17"/>
              </w:rPr>
              <w:t>5,614</w:t>
            </w:r>
          </w:p>
        </w:tc>
        <w:tc>
          <w:tcPr>
            <w:tcW w:type="dxa" w:w="1656"/>
          </w:tcPr>
          <w:p>
            <w:pPr>
              <w:spacing w:after="0" w:before="0"/>
              <w:jc w:val="right"/>
            </w:pPr>
            <w:r/>
            <w:r>
              <w:rPr>
                <w:sz w:val="17"/>
              </w:rPr>
              <w:t>6,182</w:t>
            </w:r>
          </w:p>
        </w:tc>
        <w:tc>
          <w:tcPr>
            <w:tcW w:type="dxa" w:w="1656"/>
          </w:tcPr>
          <w:p>
            <w:pPr>
              <w:spacing w:after="0" w:before="0"/>
              <w:jc w:val="right"/>
            </w:pPr>
            <w:r/>
            <w:r>
              <w:rPr>
                <w:sz w:val="17"/>
              </w:rPr>
              <w:t>6,452</w:t>
            </w:r>
          </w:p>
        </w:tc>
        <w:tc>
          <w:tcPr>
            <w:tcW w:type="dxa" w:w="1656"/>
          </w:tcPr>
          <w:p>
            <w:pPr>
              <w:spacing w:after="0" w:before="0"/>
              <w:jc w:val="right"/>
            </w:pPr>
            <w:r/>
            <w:r>
              <w:rPr>
                <w:sz w:val="17"/>
              </w:rPr>
              <w:t>1,853</w:t>
            </w:r>
          </w:p>
        </w:tc>
      </w:tr>
      <w:tr>
        <w:trPr>
          <w:cantSplit/>
        </w:trPr>
        <w:tc>
          <w:tcPr>
            <w:tcW w:type="dxa" w:w="1656"/>
            <w:shd w:val="clear" w:fill="F6F7F9"/>
          </w:tcPr>
          <w:p>
            <w:pPr>
              <w:spacing w:after="0" w:before="0"/>
            </w:pPr>
            <w:r/>
            <w:r>
              <w:rPr>
                <w:b/>
                <w:sz w:val="17"/>
              </w:rPr>
              <w:t>EBITA</w:t>
            </w:r>
          </w:p>
        </w:tc>
        <w:tc>
          <w:tcPr>
            <w:tcW w:type="dxa" w:w="1656"/>
            <w:shd w:val="clear" w:fill="F6F7F9"/>
          </w:tcPr>
          <w:p>
            <w:pPr>
              <w:spacing w:after="0" w:before="0"/>
              <w:jc w:val="right"/>
            </w:pPr>
            <w:r/>
            <w:r>
              <w:rPr>
                <w:sz w:val="17"/>
              </w:rPr>
              <w:t>787</w:t>
            </w:r>
          </w:p>
        </w:tc>
        <w:tc>
          <w:tcPr>
            <w:tcW w:type="dxa" w:w="1656"/>
            <w:shd w:val="clear" w:fill="F6F7F9"/>
          </w:tcPr>
          <w:p>
            <w:pPr>
              <w:spacing w:after="0" w:before="0"/>
              <w:jc w:val="right"/>
            </w:pPr>
            <w:r/>
            <w:r>
              <w:rPr>
                <w:sz w:val="17"/>
              </w:rPr>
              <w:t>1,047</w:t>
            </w:r>
          </w:p>
        </w:tc>
        <w:tc>
          <w:tcPr>
            <w:tcW w:type="dxa" w:w="1656"/>
            <w:shd w:val="clear" w:fill="F6F7F9"/>
          </w:tcPr>
          <w:p>
            <w:pPr>
              <w:spacing w:after="0" w:before="0"/>
              <w:jc w:val="right"/>
            </w:pPr>
            <w:r/>
            <w:r>
              <w:rPr>
                <w:sz w:val="17"/>
              </w:rPr>
              <w:t>1,227</w:t>
            </w:r>
          </w:p>
        </w:tc>
        <w:tc>
          <w:tcPr>
            <w:tcW w:type="dxa" w:w="1656"/>
            <w:shd w:val="clear" w:fill="F6F7F9"/>
          </w:tcPr>
          <w:p>
            <w:pPr>
              <w:spacing w:after="0" w:before="0"/>
              <w:jc w:val="right"/>
            </w:pPr>
            <w:r/>
            <w:r>
              <w:rPr>
                <w:sz w:val="17"/>
              </w:rPr>
              <w:t>1,339</w:t>
            </w:r>
          </w:p>
        </w:tc>
        <w:tc>
          <w:tcPr>
            <w:tcW w:type="dxa" w:w="1656"/>
            <w:shd w:val="clear" w:fill="F6F7F9"/>
          </w:tcPr>
          <w:p>
            <w:pPr>
              <w:spacing w:after="0" w:before="0"/>
              <w:jc w:val="right"/>
            </w:pPr>
            <w:r/>
            <w:r>
              <w:rPr>
                <w:sz w:val="17"/>
              </w:rPr>
              <w:t>415</w:t>
            </w:r>
          </w:p>
        </w:tc>
      </w:tr>
      <w:tr>
        <w:trPr>
          <w:cantSplit/>
        </w:trPr>
        <w:tc>
          <w:tcPr>
            <w:tcW w:type="dxa" w:w="1656"/>
          </w:tcPr>
          <w:p>
            <w:pPr>
              <w:spacing w:after="0" w:before="0"/>
            </w:pPr>
            <w:r/>
            <w:r>
              <w:rPr>
                <w:b/>
                <w:sz w:val="17"/>
              </w:rPr>
              <w:t>Margin</w:t>
            </w:r>
          </w:p>
        </w:tc>
        <w:tc>
          <w:tcPr>
            <w:tcW w:type="dxa" w:w="1656"/>
          </w:tcPr>
          <w:p>
            <w:pPr>
              <w:spacing w:after="0" w:before="0"/>
              <w:jc w:val="right"/>
            </w:pPr>
            <w:r/>
            <w:r>
              <w:rPr>
                <w:sz w:val="17"/>
              </w:rPr>
              <w:t>18%</w:t>
            </w:r>
          </w:p>
        </w:tc>
        <w:tc>
          <w:tcPr>
            <w:tcW w:type="dxa" w:w="1656"/>
          </w:tcPr>
          <w:p>
            <w:pPr>
              <w:spacing w:after="0" w:before="0"/>
              <w:jc w:val="right"/>
            </w:pPr>
            <w:r/>
            <w:r>
              <w:rPr>
                <w:sz w:val="17"/>
              </w:rPr>
              <w:t>19%</w:t>
            </w:r>
          </w:p>
        </w:tc>
        <w:tc>
          <w:tcPr>
            <w:tcW w:type="dxa" w:w="1656"/>
          </w:tcPr>
          <w:p>
            <w:pPr>
              <w:spacing w:after="0" w:before="0"/>
              <w:jc w:val="right"/>
            </w:pPr>
            <w:r/>
            <w:r>
              <w:rPr>
                <w:sz w:val="17"/>
              </w:rPr>
              <w:t>20%</w:t>
            </w:r>
          </w:p>
        </w:tc>
        <w:tc>
          <w:tcPr>
            <w:tcW w:type="dxa" w:w="1656"/>
          </w:tcPr>
          <w:p>
            <w:pPr>
              <w:spacing w:after="0" w:before="0"/>
              <w:jc w:val="right"/>
            </w:pPr>
            <w:r/>
            <w:r>
              <w:rPr>
                <w:sz w:val="17"/>
              </w:rPr>
              <w:t>21%</w:t>
            </w:r>
          </w:p>
        </w:tc>
        <w:tc>
          <w:tcPr>
            <w:tcW w:type="dxa" w:w="1656"/>
          </w:tcPr>
          <w:p>
            <w:pPr>
              <w:spacing w:after="0" w:before="0"/>
              <w:jc w:val="right"/>
            </w:pPr>
            <w:r/>
            <w:r>
              <w:rPr>
                <w:sz w:val="17"/>
              </w:rPr>
              <w:t>22%</w:t>
            </w:r>
          </w:p>
        </w:tc>
      </w:tr>
      <w:tr>
        <w:trPr>
          <w:cantSplit/>
        </w:trPr>
        <w:tc>
          <w:tcPr>
            <w:tcW w:type="dxa" w:w="1656"/>
            <w:shd w:val="clear" w:fill="F6F7F9"/>
          </w:tcPr>
          <w:p>
            <w:pPr>
              <w:spacing w:after="0" w:before="0"/>
            </w:pPr>
            <w:r/>
            <w:r>
              <w:rPr>
                <w:b/>
                <w:sz w:val="17"/>
              </w:rPr>
              <w:t>Acquisitions #</w:t>
            </w:r>
          </w:p>
        </w:tc>
        <w:tc>
          <w:tcPr>
            <w:tcW w:type="dxa" w:w="1656"/>
            <w:shd w:val="clear" w:fill="F6F7F9"/>
          </w:tcPr>
          <w:p>
            <w:pPr>
              <w:spacing w:after="0" w:before="0"/>
              <w:jc w:val="right"/>
            </w:pPr>
            <w:r/>
            <w:r>
              <w:rPr>
                <w:sz w:val="17"/>
              </w:rPr>
              <w:t>–</w:t>
            </w:r>
          </w:p>
        </w:tc>
        <w:tc>
          <w:tcPr>
            <w:tcW w:type="dxa" w:w="1656"/>
            <w:shd w:val="clear" w:fill="F6F7F9"/>
          </w:tcPr>
          <w:p>
            <w:pPr>
              <w:spacing w:after="0" w:before="0"/>
              <w:jc w:val="right"/>
            </w:pPr>
            <w:r/>
            <w:r>
              <w:rPr>
                <w:sz w:val="17"/>
              </w:rPr>
              <w:t>2</w:t>
            </w:r>
          </w:p>
        </w:tc>
        <w:tc>
          <w:tcPr>
            <w:tcW w:type="dxa" w:w="1656"/>
            <w:shd w:val="clear" w:fill="F6F7F9"/>
          </w:tcPr>
          <w:p>
            <w:pPr>
              <w:spacing w:after="0" w:before="0"/>
              <w:jc w:val="right"/>
            </w:pPr>
            <w:r/>
            <w:r>
              <w:rPr>
                <w:sz w:val="17"/>
              </w:rPr>
              <w:t>4</w:t>
            </w:r>
          </w:p>
        </w:tc>
        <w:tc>
          <w:tcPr>
            <w:tcW w:type="dxa" w:w="1656"/>
            <w:shd w:val="clear" w:fill="F6F7F9"/>
          </w:tcPr>
          <w:p>
            <w:pPr>
              <w:spacing w:after="0" w:before="0"/>
              <w:jc w:val="right"/>
            </w:pPr>
            <w:r/>
            <w:r>
              <w:rPr>
                <w:sz w:val="17"/>
              </w:rPr>
              <w:t>3</w:t>
            </w:r>
          </w:p>
        </w:tc>
        <w:tc>
          <w:tcPr>
            <w:tcW w:type="dxa" w:w="1656"/>
            <w:shd w:val="clear" w:fill="F6F7F9"/>
          </w:tcPr>
          <w:p>
            <w:pPr>
              <w:spacing w:after="0" w:before="0"/>
              <w:jc w:val="right"/>
            </w:pPr>
            <w:r/>
            <w:r>
              <w:rPr>
                <w:sz w:val="17"/>
              </w:rPr>
              <w:t>3</w:t>
            </w:r>
          </w:p>
        </w:tc>
      </w:tr>
    </w:tbl>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72912"/>
            <wp:docPr id="6" name="Picture 6"/>
            <wp:cNvGraphicFramePr>
              <a:graphicFrameLocks noChangeAspect="1"/>
            </wp:cNvGraphicFramePr>
            <a:graphic>
              <a:graphicData uri="http://schemas.openxmlformats.org/drawingml/2006/picture">
                <pic:pic>
                  <pic:nvPicPr>
                    <pic:cNvPr id="0" name="d16feb8f877c898d8516be82be99809f.png"/>
                    <pic:cNvPicPr/>
                  </pic:nvPicPr>
                  <pic:blipFill>
                    <a:blip r:embed="rId14"/>
                    <a:stretch>
                      <a:fillRect/>
                    </a:stretch>
                  </pic:blipFill>
                  <pic:spPr>
                    <a:xfrm>
                      <a:off x="0" y="0"/>
                      <a:ext cx="5212080" cy="1872912"/>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Nasdaq Stockholm: ROKO B. Price history available from Mar 2025.</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NGEx</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NGEx is a growing copper and gold exploration company based in Canada, focused on the exploration of the Lunahuasi copper–gold–silver project in San Juan Province, Argentina, and the nearby Los Helados copper–gold project, located approximately nine kilometres to the north-east, in Chile’s Region III. Both projects lie within the emerging Vicuña District, which includes the Caserones mine and the Josemaria and Filo del Sol deposits.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CAD 5,476m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CAD 4,963m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&lt;1%</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8%</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We invested early in NGEx on the basis that the company has an exceptional management team with significant ownership, backed by the Lundin family, which has a strong track record of developing mines in challenging regions. We invested early in the original company, which spun out Filo Mining and Josemaria; the proposal is now to spin out LunR Royalties Corp. Our thesis has been that this provides attractive exposure to the electrification trend, which we believe will drive copper prices higher.</w:t>
      </w:r>
    </w:p>
    <w:p>
      <w:pPr>
        <w:keepNext/>
        <w:spacing w:before="120" w:after="20" w:line="269" w:lineRule="auto"/>
        <w:jc w:val="left"/>
      </w:pPr>
      <w:r>
        <w:rPr>
          <w:b/>
          <w:i w:val="0"/>
          <w:color w:val="314359"/>
          <w:sz w:val="20"/>
        </w:rPr>
        <w:t>Recent events, Q1 2026</w:t>
      </w:r>
    </w:p>
    <w:p>
      <w:pPr>
        <w:pStyle w:val="ListBullet"/>
        <w:spacing w:after="20"/>
      </w:pPr>
      <w:r>
        <w:rPr>
          <w:sz w:val="21"/>
        </w:rPr>
        <w:t>The results of the Phase 3 programme were positive and confirmed the discovery of one of the highest-grade copper, gold and silver intercepts drilled globally.</w:t>
      </w:r>
    </w:p>
    <w:p>
      <w:pPr>
        <w:pStyle w:val="ListBullet"/>
        <w:spacing w:after="20"/>
      </w:pPr>
      <w:r>
        <w:rPr>
          <w:sz w:val="21"/>
        </w:rPr>
        <w:t>The Phase 4 drill programme at Lunahuasi is now complete. Results continue to be very positive, indicating further potential at short range.</w:t>
      </w:r>
    </w:p>
    <w:p>
      <w:pPr>
        <w:pStyle w:val="ListBullet"/>
        <w:spacing w:after="20"/>
      </w:pPr>
      <w:r>
        <w:rPr>
          <w:sz w:val="21"/>
        </w:rPr>
        <w:t>The mid-range step-out drilling points to extensions of existing mineralised intersections and to the existence of two new high-grade zones with the same characteristics as those previously identified. Further analysis is required before Phase 5 is initiated in Q4 2026.</w:t>
      </w:r>
    </w:p>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95829"/>
            <wp:docPr id="7" name="Picture 7"/>
            <wp:cNvGraphicFramePr>
              <a:graphicFrameLocks noChangeAspect="1"/>
            </wp:cNvGraphicFramePr>
            <a:graphic>
              <a:graphicData uri="http://schemas.openxmlformats.org/drawingml/2006/picture">
                <pic:pic>
                  <pic:nvPicPr>
                    <pic:cNvPr id="0" name="fca4fb793f41dea283f45cb10c64e37e.png"/>
                    <pic:cNvPicPr/>
                  </pic:nvPicPr>
                  <pic:blipFill>
                    <a:blip r:embed="rId15"/>
                    <a:stretch>
                      <a:fillRect/>
                    </a:stretch>
                  </pic:blipFill>
                  <pic:spPr>
                    <a:xfrm>
                      <a:off x="0" y="0"/>
                      <a:ext cx="5212080" cy="1895829"/>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Toronto Stock Exchange: NGEX.</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Auto Trader Group</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Auto Trader Group is the dominant market leader, providing the UK’s largest marketplace for automotive sales. The company is approximately 10x larger than its nearest competitor.</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£4,101m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£4,246m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&lt;1%</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3%</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Auto Trader Group has a very strong position. Its services are essential for car dealers seeking to maximise their profits. It is currently very difficult to envisage any competitor displacing Auto Trader, as its scale and dominance make it hard for rivals to offer customers the same value. The company has been able to raise prices as it has improved its product offering, delivering increased value to its customers.</w:t>
      </w:r>
    </w:p>
    <w:p>
      <w:pPr>
        <w:keepNext/>
        <w:spacing w:before="120" w:after="20" w:line="269" w:lineRule="auto"/>
        <w:jc w:val="left"/>
      </w:pPr>
      <w:r>
        <w:rPr>
          <w:b/>
          <w:i w:val="0"/>
          <w:color w:val="314359"/>
          <w:sz w:val="20"/>
        </w:rPr>
        <w:t>Recent events, H1 FY2026</w:t>
      </w:r>
    </w:p>
    <w:p>
      <w:pPr>
        <w:pStyle w:val="ListBullet"/>
        <w:spacing w:after="20"/>
      </w:pPr>
      <w:r>
        <w:rPr>
          <w:sz w:val="21"/>
        </w:rPr>
        <w:t>There were few surprises in the first-half results. Net sales increased by 5% to £296m. Operating income grew by 6% to £200m, with margins maintained at 64%.</w:t>
      </w:r>
    </w:p>
    <w:p>
      <w:pPr>
        <w:pStyle w:val="ListBullet"/>
        <w:spacing w:after="20"/>
      </w:pPr>
      <w:r>
        <w:rPr>
          <w:sz w:val="21"/>
        </w:rPr>
        <w:t>The adoption of Deal Builder, a tool to drive sales, progressed. There were, however, some initial missteps in the product launch, which the company has acknowledged and intends to correct.</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rPr>
          <w:cantSplit/>
        </w:trPr>
        <w:tc>
          <w:tcPr>
            <w:tcW w:type="dxa" w:w="1656"/>
            <w:shd w:val="clear" w:fill="152130"/>
          </w:tcPr>
          <w:p>
            <w:pPr>
              <w:spacing w:after="0" w:before="0"/>
            </w:pPr>
            <w:r/>
            <w:r>
              <w:rPr>
                <w:b/>
                <w:color w:val="FFFFFF"/>
                <w:sz w:val="17"/>
              </w:rPr>
              <w:t>M £</w:t>
            </w:r>
          </w:p>
        </w:tc>
        <w:tc>
          <w:tcPr>
            <w:tcW w:type="dxa" w:w="1656"/>
            <w:shd w:val="clear" w:fill="152130"/>
          </w:tcPr>
          <w:p>
            <w:pPr>
              <w:spacing w:after="0" w:before="0"/>
            </w:pPr>
            <w:r/>
            <w:r>
              <w:rPr>
                <w:b/>
                <w:color w:val="FFFFFF"/>
                <w:sz w:val="17"/>
              </w:rPr>
              <w:t>2021</w:t>
            </w:r>
          </w:p>
        </w:tc>
        <w:tc>
          <w:tcPr>
            <w:tcW w:type="dxa" w:w="1656"/>
            <w:shd w:val="clear" w:fill="152130"/>
          </w:tcPr>
          <w:p>
            <w:pPr>
              <w:spacing w:after="0" w:before="0"/>
            </w:pPr>
            <w:r/>
            <w:r>
              <w:rPr>
                <w:b/>
                <w:color w:val="FFFFFF"/>
                <w:sz w:val="17"/>
              </w:rPr>
              <w:t>2022</w:t>
            </w:r>
          </w:p>
        </w:tc>
        <w:tc>
          <w:tcPr>
            <w:tcW w:type="dxa" w:w="1656"/>
            <w:shd w:val="clear" w:fill="152130"/>
          </w:tcPr>
          <w:p>
            <w:pPr>
              <w:spacing w:after="0" w:before="0"/>
            </w:pPr>
            <w:r/>
            <w:r>
              <w:rPr>
                <w:b/>
                <w:color w:val="FFFFFF"/>
                <w:sz w:val="17"/>
              </w:rPr>
              <w:t>2023</w:t>
            </w:r>
          </w:p>
        </w:tc>
        <w:tc>
          <w:tcPr>
            <w:tcW w:type="dxa" w:w="1656"/>
            <w:shd w:val="clear" w:fill="152130"/>
          </w:tcPr>
          <w:p>
            <w:pPr>
              <w:spacing w:after="0" w:before="0"/>
            </w:pPr>
            <w:r/>
            <w:r>
              <w:rPr>
                <w:b/>
                <w:color w:val="FFFFFF"/>
                <w:sz w:val="17"/>
              </w:rPr>
              <w:t>2024</w:t>
            </w:r>
          </w:p>
        </w:tc>
        <w:tc>
          <w:tcPr>
            <w:tcW w:type="dxa" w:w="1656"/>
            <w:shd w:val="clear" w:fill="152130"/>
          </w:tcPr>
          <w:p>
            <w:pPr>
              <w:spacing w:after="0" w:before="0"/>
            </w:pPr>
            <w:r/>
            <w:r>
              <w:rPr>
                <w:b/>
                <w:color w:val="FFFFFF"/>
                <w:sz w:val="17"/>
              </w:rPr>
              <w:t>2025</w:t>
            </w:r>
          </w:p>
        </w:tc>
      </w:tr>
      <w:tr>
        <w:trPr>
          <w:cantSplit/>
        </w:trPr>
        <w:tc>
          <w:tcPr>
            <w:tcW w:type="dxa" w:w="1656"/>
          </w:tcPr>
          <w:p>
            <w:pPr>
              <w:spacing w:after="0" w:before="0"/>
            </w:pPr>
            <w:r/>
            <w:r>
              <w:rPr>
                <w:b/>
                <w:sz w:val="17"/>
              </w:rPr>
              <w:t>Net Revenue</w:t>
            </w:r>
          </w:p>
        </w:tc>
        <w:tc>
          <w:tcPr>
            <w:tcW w:type="dxa" w:w="1656"/>
          </w:tcPr>
          <w:p>
            <w:pPr>
              <w:spacing w:after="0" w:before="0"/>
              <w:jc w:val="right"/>
            </w:pPr>
            <w:r/>
            <w:r>
              <w:rPr>
                <w:sz w:val="17"/>
              </w:rPr>
              <w:t>263</w:t>
            </w:r>
          </w:p>
        </w:tc>
        <w:tc>
          <w:tcPr>
            <w:tcW w:type="dxa" w:w="1656"/>
          </w:tcPr>
          <w:p>
            <w:pPr>
              <w:spacing w:after="0" w:before="0"/>
              <w:jc w:val="right"/>
            </w:pPr>
            <w:r/>
            <w:r>
              <w:rPr>
                <w:sz w:val="17"/>
              </w:rPr>
              <w:t>433</w:t>
            </w:r>
          </w:p>
        </w:tc>
        <w:tc>
          <w:tcPr>
            <w:tcW w:type="dxa" w:w="1656"/>
          </w:tcPr>
          <w:p>
            <w:pPr>
              <w:spacing w:after="0" w:before="0"/>
              <w:jc w:val="right"/>
            </w:pPr>
            <w:r/>
            <w:r>
              <w:rPr>
                <w:sz w:val="17"/>
              </w:rPr>
              <w:t>500</w:t>
            </w:r>
          </w:p>
        </w:tc>
        <w:tc>
          <w:tcPr>
            <w:tcW w:type="dxa" w:w="1656"/>
          </w:tcPr>
          <w:p>
            <w:pPr>
              <w:spacing w:after="0" w:before="0"/>
              <w:jc w:val="right"/>
            </w:pPr>
            <w:r/>
            <w:r>
              <w:rPr>
                <w:sz w:val="17"/>
              </w:rPr>
              <w:t>571</w:t>
            </w:r>
          </w:p>
        </w:tc>
        <w:tc>
          <w:tcPr>
            <w:tcW w:type="dxa" w:w="1656"/>
          </w:tcPr>
          <w:p>
            <w:pPr>
              <w:spacing w:after="0" w:before="0"/>
              <w:jc w:val="right"/>
            </w:pPr>
            <w:r/>
            <w:r>
              <w:rPr>
                <w:sz w:val="17"/>
              </w:rPr>
              <w:t>601</w:t>
            </w:r>
          </w:p>
        </w:tc>
      </w:tr>
      <w:tr>
        <w:trPr>
          <w:cantSplit/>
        </w:trPr>
        <w:tc>
          <w:tcPr>
            <w:tcW w:type="dxa" w:w="1656"/>
            <w:shd w:val="clear" w:fill="F6F7F9"/>
          </w:tcPr>
          <w:p>
            <w:pPr>
              <w:spacing w:after="0" w:before="0"/>
            </w:pPr>
            <w:r/>
            <w:r>
              <w:rPr>
                <w:b/>
                <w:sz w:val="17"/>
              </w:rPr>
              <w:t>EBITA</w:t>
            </w:r>
          </w:p>
        </w:tc>
        <w:tc>
          <w:tcPr>
            <w:tcW w:type="dxa" w:w="1656"/>
            <w:shd w:val="clear" w:fill="F6F7F9"/>
          </w:tcPr>
          <w:p>
            <w:pPr>
              <w:spacing w:after="0" w:before="0"/>
              <w:jc w:val="right"/>
            </w:pPr>
            <w:r/>
            <w:r>
              <w:rPr>
                <w:sz w:val="17"/>
              </w:rPr>
              <w:t>162</w:t>
            </w:r>
          </w:p>
        </w:tc>
        <w:tc>
          <w:tcPr>
            <w:tcW w:type="dxa" w:w="1656"/>
            <w:shd w:val="clear" w:fill="F6F7F9"/>
          </w:tcPr>
          <w:p>
            <w:pPr>
              <w:spacing w:after="0" w:before="0"/>
              <w:jc w:val="right"/>
            </w:pPr>
            <w:r/>
            <w:r>
              <w:rPr>
                <w:sz w:val="17"/>
              </w:rPr>
              <w:t>305</w:t>
            </w:r>
          </w:p>
        </w:tc>
        <w:tc>
          <w:tcPr>
            <w:tcW w:type="dxa" w:w="1656"/>
            <w:shd w:val="clear" w:fill="F6F7F9"/>
          </w:tcPr>
          <w:p>
            <w:pPr>
              <w:spacing w:after="0" w:before="0"/>
              <w:jc w:val="right"/>
            </w:pPr>
            <w:r/>
            <w:r>
              <w:rPr>
                <w:sz w:val="17"/>
              </w:rPr>
              <w:t>280</w:t>
            </w:r>
          </w:p>
        </w:tc>
        <w:tc>
          <w:tcPr>
            <w:tcW w:type="dxa" w:w="1656"/>
            <w:shd w:val="clear" w:fill="F6F7F9"/>
          </w:tcPr>
          <w:p>
            <w:pPr>
              <w:spacing w:after="0" w:before="0"/>
              <w:jc w:val="right"/>
            </w:pPr>
            <w:r/>
            <w:r>
              <w:rPr>
                <w:sz w:val="17"/>
              </w:rPr>
              <w:t>352</w:t>
            </w:r>
          </w:p>
        </w:tc>
        <w:tc>
          <w:tcPr>
            <w:tcW w:type="dxa" w:w="1656"/>
            <w:shd w:val="clear" w:fill="F6F7F9"/>
          </w:tcPr>
          <w:p>
            <w:pPr>
              <w:spacing w:after="0" w:before="0"/>
              <w:jc w:val="right"/>
            </w:pPr>
            <w:r/>
            <w:r>
              <w:rPr>
                <w:sz w:val="17"/>
              </w:rPr>
              <w:t>378</w:t>
            </w:r>
          </w:p>
        </w:tc>
      </w:tr>
      <w:tr>
        <w:trPr>
          <w:cantSplit/>
        </w:trPr>
        <w:tc>
          <w:tcPr>
            <w:tcW w:type="dxa" w:w="1656"/>
          </w:tcPr>
          <w:p>
            <w:pPr>
              <w:spacing w:after="0" w:before="0"/>
            </w:pPr>
            <w:r/>
            <w:r>
              <w:rPr>
                <w:b/>
                <w:sz w:val="17"/>
              </w:rPr>
              <w:t>Margin</w:t>
            </w:r>
          </w:p>
        </w:tc>
        <w:tc>
          <w:tcPr>
            <w:tcW w:type="dxa" w:w="1656"/>
          </w:tcPr>
          <w:p>
            <w:pPr>
              <w:spacing w:after="0" w:before="0"/>
              <w:jc w:val="right"/>
            </w:pPr>
            <w:r/>
            <w:r>
              <w:rPr>
                <w:sz w:val="17"/>
              </w:rPr>
              <w:t>62%</w:t>
            </w:r>
          </w:p>
        </w:tc>
        <w:tc>
          <w:tcPr>
            <w:tcW w:type="dxa" w:w="1656"/>
          </w:tcPr>
          <w:p>
            <w:pPr>
              <w:spacing w:after="0" w:before="0"/>
              <w:jc w:val="right"/>
            </w:pPr>
            <w:r/>
            <w:r>
              <w:rPr>
                <w:sz w:val="17"/>
              </w:rPr>
              <w:t>70%</w:t>
            </w:r>
          </w:p>
        </w:tc>
        <w:tc>
          <w:tcPr>
            <w:tcW w:type="dxa" w:w="1656"/>
          </w:tcPr>
          <w:p>
            <w:pPr>
              <w:spacing w:after="0" w:before="0"/>
              <w:jc w:val="right"/>
            </w:pPr>
            <w:r/>
            <w:r>
              <w:rPr>
                <w:sz w:val="17"/>
              </w:rPr>
              <w:t>56%</w:t>
            </w:r>
          </w:p>
        </w:tc>
        <w:tc>
          <w:tcPr>
            <w:tcW w:type="dxa" w:w="1656"/>
          </w:tcPr>
          <w:p>
            <w:pPr>
              <w:spacing w:after="0" w:before="0"/>
              <w:jc w:val="right"/>
            </w:pPr>
            <w:r/>
            <w:r>
              <w:rPr>
                <w:sz w:val="17"/>
              </w:rPr>
              <w:t>62%</w:t>
            </w:r>
          </w:p>
        </w:tc>
        <w:tc>
          <w:tcPr>
            <w:tcW w:type="dxa" w:w="1656"/>
          </w:tcPr>
          <w:p>
            <w:pPr>
              <w:spacing w:after="0" w:before="0"/>
              <w:jc w:val="right"/>
            </w:pPr>
            <w:r/>
            <w:r>
              <w:rPr>
                <w:sz w:val="17"/>
              </w:rPr>
              <w:t>63%</w:t>
            </w:r>
          </w:p>
        </w:tc>
      </w:tr>
      <w:tr>
        <w:trPr>
          <w:cantSplit/>
        </w:trPr>
        <w:tc>
          <w:tcPr>
            <w:tcW w:type="dxa" w:w="1656"/>
            <w:shd w:val="clear" w:fill="F6F7F9"/>
          </w:tcPr>
          <w:p>
            <w:pPr>
              <w:spacing w:after="0" w:before="0"/>
            </w:pPr>
            <w:r/>
            <w:r>
              <w:rPr>
                <w:b/>
                <w:sz w:val="17"/>
              </w:rPr>
              <w:t>Net Income</w:t>
            </w:r>
          </w:p>
        </w:tc>
        <w:tc>
          <w:tcPr>
            <w:tcW w:type="dxa" w:w="1656"/>
            <w:shd w:val="clear" w:fill="F6F7F9"/>
          </w:tcPr>
          <w:p>
            <w:pPr>
              <w:spacing w:after="0" w:before="0"/>
              <w:jc w:val="right"/>
            </w:pPr>
            <w:r/>
            <w:r>
              <w:rPr>
                <w:sz w:val="17"/>
              </w:rPr>
              <w:t>128</w:t>
            </w:r>
          </w:p>
        </w:tc>
        <w:tc>
          <w:tcPr>
            <w:tcW w:type="dxa" w:w="1656"/>
            <w:shd w:val="clear" w:fill="F6F7F9"/>
          </w:tcPr>
          <w:p>
            <w:pPr>
              <w:spacing w:after="0" w:before="0"/>
              <w:jc w:val="right"/>
            </w:pPr>
            <w:r/>
            <w:r>
              <w:rPr>
                <w:sz w:val="17"/>
              </w:rPr>
              <w:t>245</w:t>
            </w:r>
          </w:p>
        </w:tc>
        <w:tc>
          <w:tcPr>
            <w:tcW w:type="dxa" w:w="1656"/>
            <w:shd w:val="clear" w:fill="F6F7F9"/>
          </w:tcPr>
          <w:p>
            <w:pPr>
              <w:spacing w:after="0" w:before="0"/>
              <w:jc w:val="right"/>
            </w:pPr>
            <w:r/>
            <w:r>
              <w:rPr>
                <w:sz w:val="17"/>
              </w:rPr>
              <w:t>234</w:t>
            </w:r>
          </w:p>
        </w:tc>
        <w:tc>
          <w:tcPr>
            <w:tcW w:type="dxa" w:w="1656"/>
            <w:shd w:val="clear" w:fill="F6F7F9"/>
          </w:tcPr>
          <w:p>
            <w:pPr>
              <w:spacing w:after="0" w:before="0"/>
              <w:jc w:val="right"/>
            </w:pPr>
            <w:r/>
            <w:r>
              <w:rPr>
                <w:sz w:val="17"/>
              </w:rPr>
              <w:t>257</w:t>
            </w:r>
          </w:p>
        </w:tc>
        <w:tc>
          <w:tcPr>
            <w:tcW w:type="dxa" w:w="1656"/>
            <w:shd w:val="clear" w:fill="F6F7F9"/>
          </w:tcPr>
          <w:p>
            <w:pPr>
              <w:spacing w:after="0" w:before="0"/>
              <w:jc w:val="right"/>
            </w:pPr>
            <w:r/>
            <w:r>
              <w:rPr>
                <w:sz w:val="17"/>
              </w:rPr>
              <w:t>283</w:t>
            </w:r>
          </w:p>
        </w:tc>
      </w:tr>
    </w:tbl>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70856"/>
            <wp:docPr id="8" name="Picture 8"/>
            <wp:cNvGraphicFramePr>
              <a:graphicFrameLocks noChangeAspect="1"/>
            </wp:cNvGraphicFramePr>
            <a:graphic>
              <a:graphicData uri="http://schemas.openxmlformats.org/drawingml/2006/picture">
                <pic:pic>
                  <pic:nvPicPr>
                    <pic:cNvPr id="0" name="1461088685684c7b36e839da8a67d61d.png"/>
                    <pic:cNvPicPr/>
                  </pic:nvPicPr>
                  <pic:blipFill>
                    <a:blip r:embed="rId16"/>
                    <a:stretch>
                      <a:fillRect/>
                    </a:stretch>
                  </pic:blipFill>
                  <pic:spPr>
                    <a:xfrm>
                      <a:off x="0" y="0"/>
                      <a:ext cx="5212080" cy="1870856"/>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London Stock Exchange: AUTO.</w:t>
      </w:r>
    </w:p>
    <w:p>
      <w:pPr>
        <w:spacing w:after="0" w:before="0"/>
      </w:pPr>
      <w:r>
        <w:br w:type="page"/>
      </w:r>
    </w:p>
    <w:p>
      <w:pPr>
        <w:keepNext/>
        <w:spacing w:before="120" w:after="80"/>
        <w:pageBreakBefore/>
        <w:pBdr>
          <w:bottom w:val="single" w:sz="6" w:space="2" w:color="314359"/>
        </w:pBdr>
      </w:pPr>
      <w:r>
        <w:rPr>
          <w:rFonts w:ascii="Times New Roman" w:hAnsi="Times New Roman"/>
          <w:b/>
          <w:color w:val="152130"/>
          <w:sz w:val="26"/>
        </w:rPr>
        <w:t>Rightmove</w:t>
      </w:r>
    </w:p>
    <w:p>
      <w:pPr>
        <w:keepNext/>
        <w:spacing w:before="40" w:after="20" w:line="269" w:lineRule="auto"/>
        <w:jc w:val="left"/>
      </w:pPr>
      <w:r>
        <w:rPr>
          <w:b/>
          <w:i w:val="0"/>
          <w:color w:val="314359"/>
          <w:sz w:val="20"/>
        </w:rPr>
        <w:t>Company description</w:t>
      </w:r>
    </w:p>
    <w:p>
      <w:pPr>
        <w:spacing w:before="40" w:after="80" w:line="269" w:lineRule="auto"/>
        <w:jc w:val="left"/>
      </w:pPr>
      <w:r>
        <w:rPr>
          <w:b w:val="0"/>
          <w:i w:val="0"/>
          <w:sz w:val="21"/>
        </w:rPr>
        <w:t>Rightmove plc is the dominant property portal in the UK, providing a digital marketplace where estate agents, letting agents and landlords advertise properties for sale and rent. It generates revenue primarily from subscription fees.</w:t>
      </w:r>
    </w:p>
    <w:tbl>
      <w:tblPr>
        <w:tblStyle w:val="TableGrid"/>
        <w:tblW w:type="auto" w:w="0"/>
        <w:jc w:val="left"/>
        <w:tblLook w:firstColumn="1" w:firstRow="1" w:lastColumn="0" w:lastRow="0" w:noHBand="0" w:noVBand="1" w:val="04A0"/>
      </w:tblPr>
      <w:tblGrid>
        <w:gridCol w:w="4968"/>
        <w:gridCol w:w="4968"/>
      </w:tblGrid>
      <w:tr>
        <w:trPr>
          <w:cantSplit/>
        </w:trPr>
        <w:tc>
          <w:tcPr>
            <w:tcW w:type="dxa" w:w="4968"/>
            <w:shd w:val="clear" w:fill="152130"/>
          </w:tcPr>
          <w:p>
            <w:pPr>
              <w:spacing w:after="0" w:before="0"/>
            </w:pPr>
            <w:r/>
            <w:r>
              <w:rPr>
                <w:b/>
                <w:color w:val="FFFFFF"/>
                <w:sz w:val="18"/>
              </w:rPr>
              <w:t>Key facts</w:t>
            </w:r>
          </w:p>
        </w:tc>
        <w:tc>
          <w:tcPr>
            <w:tcW w:type="dxa" w:w="4968"/>
            <w:shd w:val="clear" w:fill="152130"/>
          </w:tcPr>
          <w:p>
            <w:pPr>
              <w:spacing w:after="0" w:before="0"/>
            </w:pPr>
            <w:r/>
            <w:r>
              <w:rPr>
                <w:b/>
                <w:color w:val="FFFFFF"/>
                <w:sz w:val="18"/>
              </w:rPr>
            </w:r>
          </w:p>
        </w:tc>
      </w:tr>
      <w:tr>
        <w:trPr>
          <w:cantSplit/>
        </w:trPr>
        <w:tc>
          <w:tcPr>
            <w:tcW w:type="dxa" w:w="4968"/>
          </w:tcPr>
          <w:p>
            <w:pPr>
              <w:spacing w:after="0" w:before="0"/>
            </w:pPr>
            <w:r/>
            <w:r>
              <w:rPr>
                <w:b/>
                <w:sz w:val="18"/>
              </w:rPr>
              <w:t>Market capitalisation</w:t>
            </w:r>
          </w:p>
        </w:tc>
        <w:tc>
          <w:tcPr>
            <w:tcW w:type="dxa" w:w="4968"/>
          </w:tcPr>
          <w:p>
            <w:pPr>
              <w:spacing w:after="0" w:before="0"/>
              <w:jc w:val="right"/>
            </w:pPr>
            <w:r/>
            <w:r>
              <w:rPr>
                <w:sz w:val="18"/>
              </w:rPr>
              <w:t>£3,313m</w:t>
            </w:r>
          </w:p>
        </w:tc>
      </w:tr>
      <w:tr>
        <w:trPr>
          <w:cantSplit/>
        </w:trPr>
        <w:tc>
          <w:tcPr>
            <w:tcW w:type="dxa" w:w="4968"/>
            <w:shd w:val="clear" w:fill="F6F7F9"/>
          </w:tcPr>
          <w:p>
            <w:pPr>
              <w:spacing w:after="0" w:before="0"/>
            </w:pPr>
            <w:r/>
            <w:r>
              <w:rPr>
                <w:b/>
                <w:sz w:val="18"/>
              </w:rPr>
              <w:t>Enterprise value</w:t>
            </w:r>
          </w:p>
        </w:tc>
        <w:tc>
          <w:tcPr>
            <w:tcW w:type="dxa" w:w="4968"/>
            <w:shd w:val="clear" w:fill="F6F7F9"/>
          </w:tcPr>
          <w:p>
            <w:pPr>
              <w:spacing w:after="0" w:before="0"/>
              <w:jc w:val="right"/>
            </w:pPr>
            <w:r/>
            <w:r>
              <w:rPr>
                <w:sz w:val="18"/>
              </w:rPr>
              <w:t>£3,270m</w:t>
            </w:r>
          </w:p>
        </w:tc>
      </w:tr>
      <w:tr>
        <w:trPr>
          <w:cantSplit/>
        </w:trPr>
        <w:tc>
          <w:tcPr>
            <w:tcW w:type="dxa" w:w="4968"/>
          </w:tcPr>
          <w:p>
            <w:pPr>
              <w:spacing w:after="0" w:before="0"/>
            </w:pPr>
            <w:r/>
            <w:r>
              <w:rPr>
                <w:b/>
                <w:sz w:val="18"/>
              </w:rPr>
              <w:t>AIP ownership</w:t>
            </w:r>
          </w:p>
        </w:tc>
        <w:tc>
          <w:tcPr>
            <w:tcW w:type="dxa" w:w="4968"/>
          </w:tcPr>
          <w:p>
            <w:pPr>
              <w:spacing w:after="0" w:before="0"/>
              <w:jc w:val="right"/>
            </w:pPr>
            <w:r/>
            <w:r>
              <w:rPr>
                <w:sz w:val="18"/>
              </w:rPr>
              <w:t>&lt;1%</w:t>
            </w:r>
          </w:p>
        </w:tc>
      </w:tr>
      <w:tr>
        <w:trPr>
          <w:cantSplit/>
        </w:trPr>
        <w:tc>
          <w:tcPr>
            <w:tcW w:type="dxa" w:w="4968"/>
            <w:shd w:val="clear" w:fill="F6F7F9"/>
          </w:tcPr>
          <w:p>
            <w:pPr>
              <w:spacing w:after="0" w:before="0"/>
            </w:pPr>
            <w:r/>
            <w:r>
              <w:rPr>
                <w:b/>
                <w:sz w:val="18"/>
              </w:rPr>
              <w:t>% of portfolio</w:t>
            </w:r>
          </w:p>
        </w:tc>
        <w:tc>
          <w:tcPr>
            <w:tcW w:type="dxa" w:w="4968"/>
            <w:shd w:val="clear" w:fill="F6F7F9"/>
          </w:tcPr>
          <w:p>
            <w:pPr>
              <w:spacing w:after="0" w:before="0"/>
              <w:jc w:val="right"/>
            </w:pPr>
            <w:r/>
            <w:r>
              <w:rPr>
                <w:sz w:val="18"/>
              </w:rPr>
              <w:t>4%</w:t>
            </w:r>
          </w:p>
        </w:tc>
      </w:tr>
      <w:tr>
        <w:trPr>
          <w:cantSplit/>
        </w:trPr>
        <w:tc>
          <w:tcPr>
            <w:tcW w:type="dxa" w:w="4968"/>
          </w:tcPr>
          <w:p>
            <w:pPr>
              <w:spacing w:after="0" w:before="0"/>
            </w:pPr>
            <w:r/>
            <w:r>
              <w:rPr>
                <w:b/>
                <w:sz w:val="18"/>
              </w:rPr>
              <w:t>Board representation</w:t>
            </w:r>
          </w:p>
        </w:tc>
        <w:tc>
          <w:tcPr>
            <w:tcW w:type="dxa" w:w="4968"/>
          </w:tcPr>
          <w:p>
            <w:pPr>
              <w:spacing w:after="0" w:before="0"/>
              <w:jc w:val="right"/>
            </w:pPr>
            <w:r/>
            <w:r>
              <w:rPr>
                <w:sz w:val="18"/>
              </w:rPr>
              <w:t>No</w:t>
            </w:r>
          </w:p>
        </w:tc>
      </w:tr>
    </w:tbl>
    <w:p>
      <w:pPr>
        <w:keepNext/>
        <w:spacing w:before="120" w:after="20" w:line="269" w:lineRule="auto"/>
        <w:jc w:val="left"/>
      </w:pPr>
      <w:r>
        <w:rPr>
          <w:b/>
          <w:i w:val="0"/>
          <w:color w:val="314359"/>
          <w:sz w:val="20"/>
        </w:rPr>
        <w:t>Our view</w:t>
      </w:r>
    </w:p>
    <w:p>
      <w:pPr>
        <w:spacing w:before="40" w:after="60" w:line="269" w:lineRule="auto"/>
        <w:jc w:val="left"/>
      </w:pPr>
      <w:r>
        <w:rPr>
          <w:b w:val="0"/>
          <w:i w:val="0"/>
          <w:sz w:val="21"/>
        </w:rPr>
        <w:t>Rightmove has a dominant position in the UK: approximately 80% of all time spent on property portals occurs on Rightmove. There are opportunities to increase monetisation in the core business, and there is also scope to grow in adjacent areas, although we ascribe less value to these. The stock is attractively priced on modest growth expectations. Our principal concern is that the CEO appears to view the competitive threat from AI-driven search agents through rose-tinted glasses, which we regard as a mistake.</w:t>
      </w:r>
    </w:p>
    <w:p>
      <w:pPr>
        <w:keepNext/>
        <w:spacing w:before="120" w:after="20" w:line="269" w:lineRule="auto"/>
        <w:jc w:val="left"/>
      </w:pPr>
      <w:r>
        <w:rPr>
          <w:b/>
          <w:i w:val="0"/>
          <w:color w:val="314359"/>
          <w:sz w:val="20"/>
        </w:rPr>
        <w:t>Recent events, Q4 2025</w:t>
      </w:r>
    </w:p>
    <w:p>
      <w:pPr>
        <w:pStyle w:val="ListBullet"/>
        <w:spacing w:after="20"/>
      </w:pPr>
      <w:r>
        <w:rPr>
          <w:sz w:val="21"/>
        </w:rPr>
        <w:t>Results for FY25 were relatively uneventful, with revenues and underlying operating profit each growing 9%. Management reiterated previous guidance of 8–10% revenue growth for FY26. It expects to buy back more shares, with £90m committed for H1.</w:t>
      </w:r>
    </w:p>
    <w:p>
      <w:pPr>
        <w:pStyle w:val="ListBullet"/>
        <w:spacing w:after="20"/>
      </w:pPr>
      <w:r>
        <w:rPr>
          <w:sz w:val="21"/>
        </w:rPr>
        <w:t>The shares have been weak owing to several factors, among them concerns about AI and a class-action lawsuit alleging that the company has abused its dominant market position by charging unfair and excessive subscription fees.</w:t>
      </w:r>
    </w:p>
    <w:p>
      <w:pPr>
        <w:keepNext/>
        <w:spacing w:before="120" w:after="20" w:line="269" w:lineRule="auto"/>
        <w:jc w:val="left"/>
      </w:pPr>
      <w:r>
        <w:rPr>
          <w:b/>
          <w:i w:val="0"/>
          <w:color w:val="314359"/>
          <w:sz w:val="20"/>
        </w:rPr>
        <w:t>Financial results</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rPr>
          <w:cantSplit/>
        </w:trPr>
        <w:tc>
          <w:tcPr>
            <w:tcW w:type="dxa" w:w="1419"/>
            <w:shd w:val="clear" w:fill="152130"/>
          </w:tcPr>
          <w:p>
            <w:pPr>
              <w:spacing w:after="0" w:before="0"/>
            </w:pPr>
            <w:r/>
            <w:r>
              <w:rPr>
                <w:b/>
                <w:color w:val="FFFFFF"/>
                <w:sz w:val="17"/>
              </w:rPr>
              <w:t>M £</w:t>
            </w:r>
          </w:p>
        </w:tc>
        <w:tc>
          <w:tcPr>
            <w:tcW w:type="dxa" w:w="1419"/>
            <w:shd w:val="clear" w:fill="152130"/>
          </w:tcPr>
          <w:p>
            <w:pPr>
              <w:spacing w:after="0" w:before="0"/>
            </w:pPr>
            <w:r/>
            <w:r>
              <w:rPr>
                <w:b/>
                <w:color w:val="FFFFFF"/>
                <w:sz w:val="17"/>
              </w:rPr>
              <w:t>2020</w:t>
            </w:r>
          </w:p>
        </w:tc>
        <w:tc>
          <w:tcPr>
            <w:tcW w:type="dxa" w:w="1419"/>
            <w:shd w:val="clear" w:fill="152130"/>
          </w:tcPr>
          <w:p>
            <w:pPr>
              <w:spacing w:after="0" w:before="0"/>
            </w:pPr>
            <w:r/>
            <w:r>
              <w:rPr>
                <w:b/>
                <w:color w:val="FFFFFF"/>
                <w:sz w:val="17"/>
              </w:rPr>
              <w:t>2021</w:t>
            </w:r>
          </w:p>
        </w:tc>
        <w:tc>
          <w:tcPr>
            <w:tcW w:type="dxa" w:w="1419"/>
            <w:shd w:val="clear" w:fill="152130"/>
          </w:tcPr>
          <w:p>
            <w:pPr>
              <w:spacing w:after="0" w:before="0"/>
            </w:pPr>
            <w:r/>
            <w:r>
              <w:rPr>
                <w:b/>
                <w:color w:val="FFFFFF"/>
                <w:sz w:val="17"/>
              </w:rPr>
              <w:t>2022</w:t>
            </w:r>
          </w:p>
        </w:tc>
        <w:tc>
          <w:tcPr>
            <w:tcW w:type="dxa" w:w="1419"/>
            <w:shd w:val="clear" w:fill="152130"/>
          </w:tcPr>
          <w:p>
            <w:pPr>
              <w:spacing w:after="0" w:before="0"/>
            </w:pPr>
            <w:r/>
            <w:r>
              <w:rPr>
                <w:b/>
                <w:color w:val="FFFFFF"/>
                <w:sz w:val="17"/>
              </w:rPr>
              <w:t>2023</w:t>
            </w:r>
          </w:p>
        </w:tc>
        <w:tc>
          <w:tcPr>
            <w:tcW w:type="dxa" w:w="1419"/>
            <w:shd w:val="clear" w:fill="152130"/>
          </w:tcPr>
          <w:p>
            <w:pPr>
              <w:spacing w:after="0" w:before="0"/>
            </w:pPr>
            <w:r/>
            <w:r>
              <w:rPr>
                <w:b/>
                <w:color w:val="FFFFFF"/>
                <w:sz w:val="17"/>
              </w:rPr>
              <w:t>2024</w:t>
            </w:r>
          </w:p>
        </w:tc>
        <w:tc>
          <w:tcPr>
            <w:tcW w:type="dxa" w:w="1419"/>
            <w:shd w:val="clear" w:fill="152130"/>
          </w:tcPr>
          <w:p>
            <w:pPr>
              <w:spacing w:after="0" w:before="0"/>
            </w:pPr>
            <w:r/>
            <w:r>
              <w:rPr>
                <w:b/>
                <w:color w:val="FFFFFF"/>
                <w:sz w:val="17"/>
              </w:rPr>
              <w:t>2025</w:t>
            </w:r>
          </w:p>
        </w:tc>
      </w:tr>
      <w:tr>
        <w:trPr>
          <w:cantSplit/>
        </w:trPr>
        <w:tc>
          <w:tcPr>
            <w:tcW w:type="dxa" w:w="1419"/>
          </w:tcPr>
          <w:p>
            <w:pPr>
              <w:spacing w:after="0" w:before="0"/>
            </w:pPr>
            <w:r/>
            <w:r>
              <w:rPr>
                <w:b/>
                <w:sz w:val="17"/>
              </w:rPr>
              <w:t>Net Revenue</w:t>
            </w:r>
          </w:p>
        </w:tc>
        <w:tc>
          <w:tcPr>
            <w:tcW w:type="dxa" w:w="1419"/>
          </w:tcPr>
          <w:p>
            <w:pPr>
              <w:spacing w:after="0" w:before="0"/>
              <w:jc w:val="right"/>
            </w:pPr>
            <w:r/>
            <w:r>
              <w:rPr>
                <w:sz w:val="17"/>
              </w:rPr>
              <w:t>206</w:t>
            </w:r>
          </w:p>
        </w:tc>
        <w:tc>
          <w:tcPr>
            <w:tcW w:type="dxa" w:w="1419"/>
          </w:tcPr>
          <w:p>
            <w:pPr>
              <w:spacing w:after="0" w:before="0"/>
              <w:jc w:val="right"/>
            </w:pPr>
            <w:r/>
            <w:r>
              <w:rPr>
                <w:sz w:val="17"/>
              </w:rPr>
              <w:t>305</w:t>
            </w:r>
          </w:p>
        </w:tc>
        <w:tc>
          <w:tcPr>
            <w:tcW w:type="dxa" w:w="1419"/>
          </w:tcPr>
          <w:p>
            <w:pPr>
              <w:spacing w:after="0" w:before="0"/>
              <w:jc w:val="right"/>
            </w:pPr>
            <w:r/>
            <w:r>
              <w:rPr>
                <w:sz w:val="17"/>
              </w:rPr>
              <w:t>333</w:t>
            </w:r>
          </w:p>
        </w:tc>
        <w:tc>
          <w:tcPr>
            <w:tcW w:type="dxa" w:w="1419"/>
          </w:tcPr>
          <w:p>
            <w:pPr>
              <w:spacing w:after="0" w:before="0"/>
              <w:jc w:val="right"/>
            </w:pPr>
            <w:r/>
            <w:r>
              <w:rPr>
                <w:sz w:val="17"/>
              </w:rPr>
              <w:t>364</w:t>
            </w:r>
          </w:p>
        </w:tc>
        <w:tc>
          <w:tcPr>
            <w:tcW w:type="dxa" w:w="1419"/>
          </w:tcPr>
          <w:p>
            <w:pPr>
              <w:spacing w:after="0" w:before="0"/>
              <w:jc w:val="right"/>
            </w:pPr>
            <w:r/>
            <w:r>
              <w:rPr>
                <w:sz w:val="17"/>
              </w:rPr>
              <w:t>390</w:t>
            </w:r>
          </w:p>
        </w:tc>
        <w:tc>
          <w:tcPr>
            <w:tcW w:type="dxa" w:w="1419"/>
          </w:tcPr>
          <w:p>
            <w:pPr>
              <w:spacing w:after="0" w:before="0"/>
              <w:jc w:val="right"/>
            </w:pPr>
            <w:r/>
            <w:r>
              <w:rPr>
                <w:sz w:val="17"/>
              </w:rPr>
              <w:t>425</w:t>
            </w:r>
          </w:p>
        </w:tc>
      </w:tr>
      <w:tr>
        <w:trPr>
          <w:cantSplit/>
        </w:trPr>
        <w:tc>
          <w:tcPr>
            <w:tcW w:type="dxa" w:w="1419"/>
            <w:shd w:val="clear" w:fill="F6F7F9"/>
          </w:tcPr>
          <w:p>
            <w:pPr>
              <w:spacing w:after="0" w:before="0"/>
            </w:pPr>
            <w:r/>
            <w:r>
              <w:rPr>
                <w:b/>
                <w:sz w:val="17"/>
              </w:rPr>
              <w:t>EBITA</w:t>
            </w:r>
          </w:p>
        </w:tc>
        <w:tc>
          <w:tcPr>
            <w:tcW w:type="dxa" w:w="1419"/>
            <w:shd w:val="clear" w:fill="F6F7F9"/>
          </w:tcPr>
          <w:p>
            <w:pPr>
              <w:spacing w:after="0" w:before="0"/>
              <w:jc w:val="right"/>
            </w:pPr>
            <w:r/>
            <w:r>
              <w:rPr>
                <w:sz w:val="17"/>
              </w:rPr>
              <w:t>135</w:t>
            </w:r>
          </w:p>
        </w:tc>
        <w:tc>
          <w:tcPr>
            <w:tcW w:type="dxa" w:w="1419"/>
            <w:shd w:val="clear" w:fill="F6F7F9"/>
          </w:tcPr>
          <w:p>
            <w:pPr>
              <w:spacing w:after="0" w:before="0"/>
              <w:jc w:val="right"/>
            </w:pPr>
            <w:r/>
            <w:r>
              <w:rPr>
                <w:sz w:val="17"/>
              </w:rPr>
              <w:t>226</w:t>
            </w:r>
          </w:p>
        </w:tc>
        <w:tc>
          <w:tcPr>
            <w:tcW w:type="dxa" w:w="1419"/>
            <w:shd w:val="clear" w:fill="F6F7F9"/>
          </w:tcPr>
          <w:p>
            <w:pPr>
              <w:spacing w:after="0" w:before="0"/>
              <w:jc w:val="right"/>
            </w:pPr>
            <w:r/>
            <w:r>
              <w:rPr>
                <w:sz w:val="17"/>
              </w:rPr>
              <w:t>241</w:t>
            </w:r>
          </w:p>
        </w:tc>
        <w:tc>
          <w:tcPr>
            <w:tcW w:type="dxa" w:w="1419"/>
            <w:shd w:val="clear" w:fill="F6F7F9"/>
          </w:tcPr>
          <w:p>
            <w:pPr>
              <w:spacing w:after="0" w:before="0"/>
              <w:jc w:val="right"/>
            </w:pPr>
            <w:r/>
            <w:r>
              <w:rPr>
                <w:sz w:val="17"/>
              </w:rPr>
              <w:t>258</w:t>
            </w:r>
          </w:p>
        </w:tc>
        <w:tc>
          <w:tcPr>
            <w:tcW w:type="dxa" w:w="1419"/>
            <w:shd w:val="clear" w:fill="F6F7F9"/>
          </w:tcPr>
          <w:p>
            <w:pPr>
              <w:spacing w:after="0" w:before="0"/>
              <w:jc w:val="right"/>
            </w:pPr>
            <w:r/>
            <w:r>
              <w:rPr>
                <w:sz w:val="17"/>
              </w:rPr>
              <w:t>256</w:t>
            </w:r>
          </w:p>
        </w:tc>
        <w:tc>
          <w:tcPr>
            <w:tcW w:type="dxa" w:w="1419"/>
            <w:shd w:val="clear" w:fill="F6F7F9"/>
          </w:tcPr>
          <w:p>
            <w:pPr>
              <w:spacing w:after="0" w:before="0"/>
              <w:jc w:val="right"/>
            </w:pPr>
            <w:r/>
            <w:r>
              <w:rPr>
                <w:sz w:val="17"/>
              </w:rPr>
              <w:t>288</w:t>
            </w:r>
          </w:p>
        </w:tc>
      </w:tr>
      <w:tr>
        <w:trPr>
          <w:cantSplit/>
        </w:trPr>
        <w:tc>
          <w:tcPr>
            <w:tcW w:type="dxa" w:w="1419"/>
          </w:tcPr>
          <w:p>
            <w:pPr>
              <w:spacing w:after="0" w:before="0"/>
            </w:pPr>
            <w:r/>
            <w:r>
              <w:rPr>
                <w:b/>
                <w:sz w:val="17"/>
              </w:rPr>
              <w:t>Margin</w:t>
            </w:r>
          </w:p>
        </w:tc>
        <w:tc>
          <w:tcPr>
            <w:tcW w:type="dxa" w:w="1419"/>
          </w:tcPr>
          <w:p>
            <w:pPr>
              <w:spacing w:after="0" w:before="0"/>
              <w:jc w:val="right"/>
            </w:pPr>
            <w:r/>
            <w:r>
              <w:rPr>
                <w:sz w:val="17"/>
              </w:rPr>
              <w:t>66%</w:t>
            </w:r>
          </w:p>
        </w:tc>
        <w:tc>
          <w:tcPr>
            <w:tcW w:type="dxa" w:w="1419"/>
          </w:tcPr>
          <w:p>
            <w:pPr>
              <w:spacing w:after="0" w:before="0"/>
              <w:jc w:val="right"/>
            </w:pPr>
            <w:r/>
            <w:r>
              <w:rPr>
                <w:sz w:val="17"/>
              </w:rPr>
              <w:t>74%</w:t>
            </w:r>
          </w:p>
        </w:tc>
        <w:tc>
          <w:tcPr>
            <w:tcW w:type="dxa" w:w="1419"/>
          </w:tcPr>
          <w:p>
            <w:pPr>
              <w:spacing w:after="0" w:before="0"/>
              <w:jc w:val="right"/>
            </w:pPr>
            <w:r/>
            <w:r>
              <w:rPr>
                <w:sz w:val="17"/>
              </w:rPr>
              <w:t>72%</w:t>
            </w:r>
          </w:p>
        </w:tc>
        <w:tc>
          <w:tcPr>
            <w:tcW w:type="dxa" w:w="1419"/>
          </w:tcPr>
          <w:p>
            <w:pPr>
              <w:spacing w:after="0" w:before="0"/>
              <w:jc w:val="right"/>
            </w:pPr>
            <w:r/>
            <w:r>
              <w:rPr>
                <w:sz w:val="17"/>
              </w:rPr>
              <w:t>71%</w:t>
            </w:r>
          </w:p>
        </w:tc>
        <w:tc>
          <w:tcPr>
            <w:tcW w:type="dxa" w:w="1419"/>
          </w:tcPr>
          <w:p>
            <w:pPr>
              <w:spacing w:after="0" w:before="0"/>
              <w:jc w:val="right"/>
            </w:pPr>
            <w:r/>
            <w:r>
              <w:rPr>
                <w:sz w:val="17"/>
              </w:rPr>
              <w:t>66%</w:t>
            </w:r>
          </w:p>
        </w:tc>
        <w:tc>
          <w:tcPr>
            <w:tcW w:type="dxa" w:w="1419"/>
          </w:tcPr>
          <w:p>
            <w:pPr>
              <w:spacing w:after="0" w:before="0"/>
              <w:jc w:val="right"/>
            </w:pPr>
            <w:r/>
            <w:r>
              <w:rPr>
                <w:sz w:val="17"/>
              </w:rPr>
              <w:t>68%</w:t>
            </w:r>
          </w:p>
        </w:tc>
      </w:tr>
      <w:tr>
        <w:trPr>
          <w:cantSplit/>
        </w:trPr>
        <w:tc>
          <w:tcPr>
            <w:tcW w:type="dxa" w:w="1419"/>
            <w:shd w:val="clear" w:fill="F6F7F9"/>
          </w:tcPr>
          <w:p>
            <w:pPr>
              <w:spacing w:after="0" w:before="0"/>
            </w:pPr>
            <w:r/>
            <w:r>
              <w:rPr>
                <w:b/>
                <w:sz w:val="17"/>
              </w:rPr>
              <w:t>Net Income</w:t>
            </w:r>
          </w:p>
        </w:tc>
        <w:tc>
          <w:tcPr>
            <w:tcW w:type="dxa" w:w="1419"/>
            <w:shd w:val="clear" w:fill="F6F7F9"/>
          </w:tcPr>
          <w:p>
            <w:pPr>
              <w:spacing w:after="0" w:before="0"/>
              <w:jc w:val="right"/>
            </w:pPr>
            <w:r/>
            <w:r>
              <w:rPr>
                <w:sz w:val="17"/>
              </w:rPr>
              <w:t>110</w:t>
            </w:r>
          </w:p>
        </w:tc>
        <w:tc>
          <w:tcPr>
            <w:tcW w:type="dxa" w:w="1419"/>
            <w:shd w:val="clear" w:fill="F6F7F9"/>
          </w:tcPr>
          <w:p>
            <w:pPr>
              <w:spacing w:after="0" w:before="0"/>
              <w:jc w:val="right"/>
            </w:pPr>
            <w:r/>
            <w:r>
              <w:rPr>
                <w:sz w:val="17"/>
              </w:rPr>
              <w:t>183</w:t>
            </w:r>
          </w:p>
        </w:tc>
        <w:tc>
          <w:tcPr>
            <w:tcW w:type="dxa" w:w="1419"/>
            <w:shd w:val="clear" w:fill="F6F7F9"/>
          </w:tcPr>
          <w:p>
            <w:pPr>
              <w:spacing w:after="0" w:before="0"/>
              <w:jc w:val="right"/>
            </w:pPr>
            <w:r/>
            <w:r>
              <w:rPr>
                <w:sz w:val="17"/>
              </w:rPr>
              <w:t>196</w:t>
            </w:r>
          </w:p>
        </w:tc>
        <w:tc>
          <w:tcPr>
            <w:tcW w:type="dxa" w:w="1419"/>
            <w:shd w:val="clear" w:fill="F6F7F9"/>
          </w:tcPr>
          <w:p>
            <w:pPr>
              <w:spacing w:after="0" w:before="0"/>
              <w:jc w:val="right"/>
            </w:pPr>
            <w:r/>
            <w:r>
              <w:rPr>
                <w:sz w:val="17"/>
              </w:rPr>
              <w:t>199</w:t>
            </w:r>
          </w:p>
        </w:tc>
        <w:tc>
          <w:tcPr>
            <w:tcW w:type="dxa" w:w="1419"/>
            <w:shd w:val="clear" w:fill="F6F7F9"/>
          </w:tcPr>
          <w:p>
            <w:pPr>
              <w:spacing w:after="0" w:before="0"/>
              <w:jc w:val="right"/>
            </w:pPr>
            <w:r/>
            <w:r>
              <w:rPr>
                <w:sz w:val="17"/>
              </w:rPr>
              <w:t>193</w:t>
            </w:r>
          </w:p>
        </w:tc>
        <w:tc>
          <w:tcPr>
            <w:tcW w:type="dxa" w:w="1419"/>
            <w:shd w:val="clear" w:fill="F6F7F9"/>
          </w:tcPr>
          <w:p>
            <w:pPr>
              <w:spacing w:after="0" w:before="0"/>
              <w:jc w:val="right"/>
            </w:pPr>
            <w:r/>
            <w:r>
              <w:rPr>
                <w:sz w:val="17"/>
              </w:rPr>
              <w:t>217</w:t>
            </w:r>
          </w:p>
        </w:tc>
      </w:tr>
    </w:tbl>
    <w:p>
      <w:pPr>
        <w:keepNext/>
        <w:spacing w:before="100" w:after="40" w:line="269" w:lineRule="auto"/>
        <w:jc w:val="left"/>
      </w:pPr>
      <w:r>
        <w:rPr>
          <w:b/>
          <w:i w:val="0"/>
          <w:color w:val="314359"/>
          <w:sz w:val="20"/>
        </w:rPr>
        <w:t>Share price &amp; traded volume (3-year)</w:t>
      </w:r>
    </w:p>
    <w:p>
      <w:pPr>
        <w:spacing w:after="40"/>
        <w:jc w:val="left"/>
      </w:pPr>
      <w:r>
        <w:drawing>
          <wp:inline xmlns:a="http://schemas.openxmlformats.org/drawingml/2006/main" xmlns:pic="http://schemas.openxmlformats.org/drawingml/2006/picture">
            <wp:extent cx="5212080" cy="1887431"/>
            <wp:docPr id="9" name="Picture 9"/>
            <wp:cNvGraphicFramePr>
              <a:graphicFrameLocks noChangeAspect="1"/>
            </wp:cNvGraphicFramePr>
            <a:graphic>
              <a:graphicData uri="http://schemas.openxmlformats.org/drawingml/2006/picture">
                <pic:pic>
                  <pic:nvPicPr>
                    <pic:cNvPr id="0" name="d988ae787195f26613d424ba2a156f3c.png"/>
                    <pic:cNvPicPr/>
                  </pic:nvPicPr>
                  <pic:blipFill>
                    <a:blip r:embed="rId17"/>
                    <a:stretch>
                      <a:fillRect/>
                    </a:stretch>
                  </pic:blipFill>
                  <pic:spPr>
                    <a:xfrm>
                      <a:off x="0" y="0"/>
                      <a:ext cx="5212080" cy="1887431"/>
                    </a:xfrm>
                    <a:prstGeom prst="rect"/>
                  </pic:spPr>
                </pic:pic>
              </a:graphicData>
            </a:graphic>
          </wp:inline>
        </w:drawing>
      </w:r>
    </w:p>
    <w:p>
      <w:pPr>
        <w:spacing w:before="40" w:after="60" w:line="269" w:lineRule="auto"/>
        <w:jc w:val="left"/>
      </w:pPr>
      <w:r>
        <w:rPr>
          <w:b w:val="0"/>
          <w:i/>
          <w:color w:val="556A83"/>
          <w:sz w:val="16"/>
        </w:rPr>
        <w:t>Source: exchange daily price history, 3-year series to 15 June 2026. London Stock Exchange: RMV.</w:t>
      </w:r>
    </w:p>
    <w:p>
      <w:pPr>
        <w:spacing w:after="0" w:before="0"/>
      </w:pPr>
      <w:r>
        <w:br w:type="page"/>
      </w:r>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E16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6310709CD82A6741BE5E8B9BFA41D3C0" ma:contentTypeVersion="13" ma:contentTypeDescription="Skapa ett nytt dokument." ma:contentTypeScope="" ma:versionID="ea70554b132df1325a42697029f21ce4">
  <xsd:schema xmlns:xsd="http://www.w3.org/2001/XMLSchema" xmlns:xs="http://www.w3.org/2001/XMLSchema" xmlns:p="http://schemas.microsoft.com/office/2006/metadata/properties" xmlns:ns2="5e27318a-0826-4810-8988-cc3e5c2e3a20" xmlns:ns3="4124b31e-6573-4802-b7ef-311f4d26277d" targetNamespace="http://schemas.microsoft.com/office/2006/metadata/properties" ma:root="true" ma:fieldsID="cc21193230fc81558174baefa7095284" ns2:_="" ns3:_="">
    <xsd:import namespace="5e27318a-0826-4810-8988-cc3e5c2e3a20"/>
    <xsd:import namespace="4124b31e-6573-4802-b7ef-311f4d2627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7318a-0826-4810-8988-cc3e5c2e3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eringar" ma:readOnly="false" ma:fieldId="{5cf76f15-5ced-4ddc-b409-7134ff3c332f}" ma:taxonomyMulti="true" ma:sspId="7f99c0e0-a277-4309-9e70-fff5b915cc5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24b31e-6573-4802-b7ef-311f4d2627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70a8ef-2ce6-4f9b-a60c-abb7e201e7ac}" ma:internalName="TaxCatchAll" ma:showField="CatchAllData" ma:web="4124b31e-6573-4802-b7ef-311f4d2627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24b31e-6573-4802-b7ef-311f4d26277d" xsi:nil="true"/>
    <lcf76f155ced4ddcb4097134ff3c332f xmlns="5e27318a-0826-4810-8988-cc3e5c2e3a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CB6486-6CEE-4500-A78E-A510D1A457C7}"/>
</file>

<file path=customXml/itemProps3.xml><?xml version="1.0" encoding="utf-8"?>
<ds:datastoreItem xmlns:ds="http://schemas.openxmlformats.org/officeDocument/2006/customXml" ds:itemID="{CA897CA5-F590-41AB-92A9-4D1F931A90BC}"/>
</file>

<file path=customXml/itemProps4.xml><?xml version="1.0" encoding="utf-8"?>
<ds:datastoreItem xmlns:ds="http://schemas.openxmlformats.org/officeDocument/2006/customXml" ds:itemID="{B6CDD1F5-5249-48F6-BF8F-9A55867B581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0x0101006310709CD82A6741BE5E8B9BFA41D3C0</vt:lpwstr>
  </property>
</Properties>
</file>