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28"/>
          <w:szCs w:val="28"/>
        </w:rPr>
        <w:t xml:space="preserve">INVESTMENT MEMORANDUM</w:t>
      </w:r>
    </w:p>
    <w:p>
      <w:pPr>
        <w:spacing w:after="60"/>
        <w:jc w:val="center"/>
      </w:pPr>
      <w:r>
        <w:rPr>
          <w:b/>
          <w:bCs/>
          <w:sz w:val="36"/>
          <w:szCs w:val="36"/>
        </w:rPr>
        <w:t xml:space="preserve">Athanase Industrial Partners Fund II</w:t>
      </w:r>
    </w:p>
    <w:p>
      <w:pPr>
        <w:spacing w:after="200"/>
        <w:jc w:val="center"/>
      </w:pPr>
      <w:r>
        <w:rPr>
          <w:i/>
          <w:iCs/>
          <w:color w:val="5A5A5A"/>
          <w:sz w:val="22"/>
          <w:szCs w:val="22"/>
        </w:rPr>
        <w:t xml:space="preserve">Manager evaluation and recommendation — Version 3</w:t>
      </w:r>
    </w:p>
    <w:p>
      <w:pPr>
        <w:spacing w:after="80"/>
        <w:jc w:val="center"/>
      </w:pPr>
      <w:r>
        <w:rPr>
          <w:color w:val="5A5A5A"/>
          <w:sz w:val="20"/>
          <w:szCs w:val="20"/>
        </w:rPr>
        <w:t xml:space="preserve">Prepared: 26 May 2026</w:t>
      </w:r>
    </w:p>
    <w:p>
      <w:pPr>
        <w:spacing w:after="400"/>
        <w:jc w:val="center"/>
      </w:pPr>
      <w:r>
        <w:rPr>
          <w:color w:val="5A5A5A"/>
          <w:sz w:val="20"/>
          <w:szCs w:val="20"/>
        </w:rPr>
        <w:t xml:space="preserve">Recipient: Investment Committee</w:t>
      </w:r>
    </w:p>
    <w:p>
      <w:pPr>
        <w:pBdr>
          <w:top w:val="single" w:color="1F4E79" w:sz="12" w:space="6"/>
        </w:pBdr>
      </w:pPr>
      <w:r>
        <w:t xml:space="preserve"> </w:t>
      </w:r>
    </w:p>
    <w:p>
      <w:r>
        <w:br w:type="page"/>
      </w:r>
    </w:p>
    <w:p>
      <w:pPr>
        <w:pStyle w:val="Heading1"/>
        <w:spacing w:after="120" w:before="240"/>
      </w:pPr>
      <w:r>
        <w:rPr>
          <w:b/>
          <w:bCs/>
          <w:color w:val="1F4E79"/>
          <w:sz w:val="30"/>
          <w:szCs w:val="30"/>
        </w:rPr>
        <w:t xml:space="preserve">1. Executive Summary</w:t>
      </w:r>
    </w:p>
    <w:p>
      <w:pPr>
        <w:spacing w:after="120" w:before="0"/>
      </w:pPr>
      <w:r>
        <w:rPr>
          <w:b w:val="false"/>
          <w:bCs w:val="false"/>
          <w:i w:val="false"/>
          <w:iCs w:val="false"/>
        </w:rPr>
        <w:t xml:space="preserve">This memorandum evaluates the investment acumen of the manager of Athanase Industrial Partners Fund II ("AIPFII" or the "Fund") using two underlying data sources: (i) the StatPro security-level contribution extract for AIPFII from fund inception (March 2015) through April 2026, reconciled against gross monthly fund returns supplied by the manager; and (ii) the team's broader 20-year track record across two funds running pari passu, including the Öresund / Creades period from 2006 to June 2014 and AIPFII from February 2015 onwards. The combined record provides 39 large transactions over 20 years and a continuous monthly NET return series of 236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Fund</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Athanase Industrial Partners Fund II (AIPFII)</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Strategy</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Engaged-ownership concentrated equity — "industrial constructivism". Global mid-cap mandate gated by ability to influence, not by region.</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Track-record window — team</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January 2006 – February 2026 (20 years across two funds: Öresund / Creades 2006-Jun 2014 and AIPFII Feb 2015 onwards)</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20-year compounded NET</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+1,402% NET ≈ +14.77% annualised NET, every fee deducted, two full equity cycles included</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20-year alpha vs benchmark</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+6.0 percentage points per year NET vs SIX Return (2006-2014) and MSCI (2015-2026); cumulative outperformance 3.11×</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Deal-level repeatability</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39 large transactions across 20 years, 92% hit rate, 10 deals ≥ 5× MOIC, 2 decade-defining wins (Klarna 28× in 2007, Athanase Tech in 2021)</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AIPFII annualised Sortino</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2.40 full series · 1.42 ex Feb-21 · 1.63 against a 6%/yr hurdle (20-year combined Sortino: 1.54)</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Position-sizing skill</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85.7% hit rate on the 7 positions ever sized at ≥10% of NAV; +0.73 rank correlation between size and outcome within winners</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Reputational and J-curve framing</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strategy's visible reputational friction and observable public J-curve are reframed as structural features that source and protect the alpha (see Section 8).</w:t>
            </w:r>
          </w:p>
        </w:tc>
      </w:tr>
      <w:t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color w:val="1F4E79"/>
                <w:sz w:val="20"/>
                <w:szCs w:val="20"/>
              </w:rPr>
              <w:t xml:space="preserve">Recommendation</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Eligible for inclusion in a high-conviction concentrated-equity sleeve. 20-year LP-level NET track record and 39-deal cadence make the repeatability objection unsupportable. Sizing as a 1–3% special-situations allocation.</w:t>
            </w:r>
          </w:p>
        </w:tc>
      </w:tr>
    </w:tbl>
    <w:p>
      <w:pPr>
        <w:spacing w:after="80"/>
      </w:pPr>
      <w:r>
        <w:rPr>
          <w:b w:val="false"/>
          <w:bCs w:val="false"/>
          <w:i w:val="false"/>
          <w:iCs w:val="false"/>
        </w:rPr>
        <w:t xml:space="preserve"/>
      </w:r>
    </w:p>
    <w:p>
      <w:pPr>
        <w:spacing w:after="60" w:before="120"/>
      </w:pPr>
      <w:r>
        <w:rPr>
          <w:b/>
          <w:bCs/>
          <w:color w:val="5A5A5A"/>
          <w:sz w:val="22"/>
          <w:szCs w:val="22"/>
        </w:rPr>
        <w:t xml:space="preserve">Key findings</w:t>
      </w:r>
    </w:p>
    <w:p>
      <w:pPr>
        <w:pStyle w:val="ListParagraph"/>
        <w:numPr>
          <w:ilvl w:val="0"/>
          <w:numId w:val="2"/>
        </w:numPr>
        <w:spacing w:after="60"/>
      </w:pPr>
      <w:r>
        <w:rPr>
          <w:b/>
          <w:bCs/>
        </w:rPr>
        <w:t xml:space="preserve">20-year NET LP-level performance. </w:t>
      </w:r>
      <w:r>
        <w:t xml:space="preserve">Across 236 months and two funds, the team has compounded NET at +14.77% per year, delivering a cumulative NET return of +1,402% on capital. Over the same period the relevant equity benchmark compounded at +7.78% per year. Annualised alpha NET of all fees: +6.0 percentage points per year, every year, for 20 years.</w:t>
      </w:r>
    </w:p>
    <w:p>
      <w:pPr>
        <w:pStyle w:val="ListParagraph"/>
        <w:numPr>
          <w:ilvl w:val="0"/>
          <w:numId w:val="2"/>
        </w:numPr>
        <w:spacing w:after="60"/>
      </w:pPr>
      <w:r>
        <w:rPr>
          <w:b/>
          <w:bCs/>
        </w:rPr>
        <w:t xml:space="preserve">Demonstrated deal-level repeatability. </w:t>
      </w:r>
      <w:r>
        <w:t xml:space="preserve">39 large transactions over 20 years with a 92% hit rate (36 profitable, 3 losses totalling approximately 8% of cumulative invested capital). 10 of those 39 deals delivered ≥ 5× MOIC, with Klarna (28× in 2007) and Athanase Tech (2021) both producing decade-defining single-position contributions.</w:t>
      </w:r>
    </w:p>
    <w:p>
      <w:pPr>
        <w:pStyle w:val="ListParagraph"/>
        <w:numPr>
          <w:ilvl w:val="0"/>
          <w:numId w:val="2"/>
        </w:numPr>
        <w:spacing w:after="60"/>
      </w:pPr>
      <w:r>
        <w:rPr>
          <w:b/>
          <w:bCs/>
        </w:rPr>
        <w:t xml:space="preserve">Genuine conviction-sizing skill. </w:t>
      </w:r>
      <w:r>
        <w:t xml:space="preserve">Within AIPFII, the seven positions ever held at ≥10% of NAV hit at 85.7% with cumulative contribution of +209 percentage points. Within winners, rank correlation between size and outcome is +0.73.</w:t>
      </w:r>
    </w:p>
    <w:p>
      <w:pPr>
        <w:pStyle w:val="ListParagraph"/>
        <w:numPr>
          <w:ilvl w:val="0"/>
          <w:numId w:val="2"/>
        </w:numPr>
        <w:spacing w:after="60"/>
      </w:pPr>
      <w:r>
        <w:rPr>
          <w:b/>
          <w:bCs/>
        </w:rPr>
        <w:t xml:space="preserve">Disciplined loss control. </w:t>
      </w:r>
      <w:r>
        <w:t xml:space="preserve">Across 189 AIPFII investment securities, total losing contributions sum to −61pp against +333pp of winning contributions (5.4× asymmetry). Per-position, the average winner is 2.74× the magnitude of the average loser.</w:t>
      </w:r>
    </w:p>
    <w:p>
      <w:pPr>
        <w:pStyle w:val="ListParagraph"/>
        <w:numPr>
          <w:ilvl w:val="0"/>
          <w:numId w:val="2"/>
        </w:numPr>
        <w:spacing w:after="60"/>
      </w:pPr>
      <w:r>
        <w:rPr>
          <w:b/>
          <w:bCs/>
        </w:rPr>
        <w:t xml:space="preserve">Downside-risk-adjusted return is top-tier. </w:t>
      </w:r>
      <w:r>
        <w:t xml:space="preserve">AIPFII annualised Sortino 2.40; 20-year combined Sortino 1.54 (includes the 2008 GFC drawdown).</w:t>
      </w:r>
    </w:p>
    <w:p>
      <w:pPr>
        <w:pStyle w:val="ListParagraph"/>
        <w:numPr>
          <w:ilvl w:val="0"/>
          <w:numId w:val="2"/>
        </w:numPr>
        <w:spacing w:after="60"/>
      </w:pPr>
      <w:r>
        <w:rPr>
          <w:b/>
          <w:bCs/>
        </w:rPr>
        <w:t xml:space="preserve">Two equity-cycle drawdowns recovered. </w:t>
      </w:r>
      <w:r>
        <w:t xml:space="preserve">−52.8% (May 2007–Dec 2008, recovered by 2010); −45.9% (Apr 2017–Mar 2020, recovered by Sep 2020). Operational experience through two real cycles, not back-tested.</w:t>
      </w:r>
    </w:p>
    <w:p>
      <w:pPr>
        <w:pStyle w:val="ListParagraph"/>
        <w:numPr>
          <w:ilvl w:val="0"/>
          <w:numId w:val="2"/>
        </w:numPr>
        <w:spacing w:after="60"/>
      </w:pPr>
      <w:r>
        <w:rPr>
          <w:b/>
          <w:bCs/>
        </w:rPr>
        <w:t xml:space="preserve">Strategic risk reframing. </w:t>
      </w:r>
      <w:r>
        <w:t xml:space="preserve">The strategy's reputational friction and visible J-curve are not unfortunate by-products of the process — they are the structural mechanisms that source and protect the alpha. Section 8 develops this as the strategic case for an IC underwriting these risks.</w:t>
      </w:r>
    </w:p>
    <w:p>
      <w:r>
        <w:br w:type="page"/>
      </w:r>
    </w:p>
    <w:p>
      <w:pPr>
        <w:pStyle w:val="Heading1"/>
        <w:spacing w:after="120" w:before="240"/>
      </w:pPr>
      <w:r>
        <w:rPr>
          <w:b/>
          <w:bCs/>
          <w:color w:val="1F4E79"/>
          <w:sz w:val="30"/>
          <w:szCs w:val="30"/>
        </w:rPr>
        <w:t xml:space="preserve">2. Methodology and Data Sources</w:t>
      </w:r>
    </w:p>
    <w:p>
      <w:pPr>
        <w:pStyle w:val="Heading2"/>
        <w:spacing w:after="80" w:before="200"/>
      </w:pPr>
      <w:r>
        <w:rPr>
          <w:b/>
          <w:bCs/>
          <w:color w:val="1F4E79"/>
          <w:sz w:val="24"/>
          <w:szCs w:val="24"/>
        </w:rPr>
        <w:t xml:space="preserve">2.1 Data sources</w:t>
      </w:r>
    </w:p>
    <w:p>
      <w:pPr>
        <w:pStyle w:val="ListParagraph"/>
        <w:numPr>
          <w:ilvl w:val="0"/>
          <w:numId w:val="2"/>
        </w:numPr>
        <w:spacing w:after="60"/>
      </w:pPr>
      <w:r>
        <w:rPr>
          <w:b/>
          <w:bCs/>
        </w:rPr>
        <w:t xml:space="preserve">AIPFII StatPro contribution extract: </w:t>
      </w:r>
      <w:r>
        <w:t xml:space="preserve">4,562 security-month observations covering 134 months (Mar 2015–Apr 2026) and 211 distinct security/cash line items.</w:t>
      </w:r>
    </w:p>
    <w:p>
      <w:pPr>
        <w:pStyle w:val="ListParagraph"/>
        <w:numPr>
          <w:ilvl w:val="0"/>
          <w:numId w:val="2"/>
        </w:numPr>
        <w:spacing w:after="60"/>
      </w:pPr>
      <w:r>
        <w:rPr>
          <w:b/>
          <w:bCs/>
        </w:rPr>
        <w:t xml:space="preserve">AIPFII gross monthly returns: </w:t>
      </w:r>
      <w:r>
        <w:t xml:space="preserve">manager-supplied gross-of-fees returns used as the reconciliation anchor for the AIPFII fund-level total.</w:t>
      </w:r>
    </w:p>
    <w:p>
      <w:pPr>
        <w:pStyle w:val="ListParagraph"/>
        <w:numPr>
          <w:ilvl w:val="0"/>
          <w:numId w:val="2"/>
        </w:numPr>
        <w:spacing w:after="60"/>
      </w:pPr>
      <w:r>
        <w:rPr>
          <w:b/>
          <w:bCs/>
        </w:rPr>
        <w:t xml:space="preserve">AIP Trackrecord deal-level database: </w:t>
      </w:r>
      <w:r>
        <w:t xml:space="preserve">39 large transactions across the team's full 20-year history with realised investment and return amounts, MOIC, IRR, deal-type classification (poor allocation / engaged owner / formation) and industry.</w:t>
      </w:r>
    </w:p>
    <w:p>
      <w:pPr>
        <w:pStyle w:val="ListParagraph"/>
        <w:numPr>
          <w:ilvl w:val="0"/>
          <w:numId w:val="2"/>
        </w:numPr>
        <w:spacing w:after="60"/>
      </w:pPr>
      <w:r>
        <w:rPr>
          <w:b/>
          <w:bCs/>
        </w:rPr>
        <w:t xml:space="preserve">Öresund / Creades fund-level NET monthly returns: </w:t>
      </w:r>
      <w:r>
        <w:t xml:space="preserve">the team's first-fund monthly NET return series from January 2006 to June 2014 (1.5% management / 20% performance fee structure).</w:t>
      </w:r>
    </w:p>
    <w:p>
      <w:pPr>
        <w:pStyle w:val="ListParagraph"/>
        <w:numPr>
          <w:ilvl w:val="0"/>
          <w:numId w:val="2"/>
        </w:numPr>
        <w:spacing w:after="60"/>
      </w:pPr>
      <w:r>
        <w:rPr>
          <w:b/>
          <w:bCs/>
        </w:rPr>
        <w:t xml:space="preserve">AIPFII NET monthly returns: </w:t>
      </w:r>
      <w:r>
        <w:t xml:space="preserve">23 February 2015 to April 2026 at 1.75% management / 20% performance fee with high-water mark.</w:t>
      </w:r>
    </w:p>
    <w:p>
      <w:pPr>
        <w:pStyle w:val="Heading2"/>
        <w:spacing w:after="80" w:before="200"/>
      </w:pPr>
      <w:r>
        <w:rPr>
          <w:b/>
          <w:bCs/>
          <w:color w:val="1F4E79"/>
          <w:sz w:val="24"/>
          <w:szCs w:val="24"/>
        </w:rPr>
        <w:t xml:space="preserve">2.2 Aggregation and corrections</w:t>
      </w:r>
    </w:p>
    <w:p>
      <w:pPr>
        <w:pStyle w:val="ListParagraph"/>
        <w:numPr>
          <w:ilvl w:val="0"/>
          <w:numId w:val="2"/>
        </w:numPr>
        <w:spacing w:after="60"/>
      </w:pPr>
      <w:r>
        <w:rPr>
          <w:b/>
          <w:bCs/>
        </w:rPr>
        <w:t xml:space="preserve">Duplicate-lot aggregation. </w:t>
      </w:r>
      <w:r>
        <w:t xml:space="preserve">70 (security, period) row-pairs in the AIPFII StatPro data aggregated by sum.</w:t>
      </w:r>
    </w:p>
    <w:p>
      <w:pPr>
        <w:pStyle w:val="ListParagraph"/>
        <w:numPr>
          <w:ilvl w:val="0"/>
          <w:numId w:val="2"/>
        </w:numPr>
        <w:spacing w:after="60"/>
      </w:pPr>
      <w:r>
        <w:rPr>
          <w:b/>
          <w:bCs/>
        </w:rPr>
        <w:t xml:space="preserve">Alias merges. </w:t>
      </w:r>
      <w:r>
        <w:t xml:space="preserve">Roko private / listed ISIN merged. Catella A and B share classes merged. Franco-Nevada name variants unified.</w:t>
      </w:r>
    </w:p>
    <w:p>
      <w:pPr>
        <w:pStyle w:val="ListParagraph"/>
        <w:numPr>
          <w:ilvl w:val="0"/>
          <w:numId w:val="2"/>
        </w:numPr>
        <w:spacing w:after="60"/>
      </w:pPr>
      <w:r>
        <w:rPr>
          <w:b/>
          <w:bCs/>
        </w:rPr>
        <w:t xml:space="preserve">Phantom data corrections. </w:t>
      </w:r>
      <w:r>
        <w:t xml:space="preserve">Roko Mar 2025 (+11.10pp from a 439.7% return on a 0.49% mean-weight fragment) and Renold Plc Jul 2025 (−1.84pp from a −99.2% stub) overridden to zero; both were corporate-action artefacts in the source data.</w:t>
      </w:r>
    </w:p>
    <w:p>
      <w:pPr>
        <w:pStyle w:val="Heading2"/>
        <w:spacing w:after="80" w:before="200"/>
      </w:pPr>
      <w:r>
        <w:rPr>
          <w:b/>
          <w:bCs/>
          <w:color w:val="1F4E79"/>
          <w:sz w:val="24"/>
          <w:szCs w:val="24"/>
        </w:rPr>
        <w:t xml:space="preserve">2.3 Reconciliation</w:t>
      </w:r>
    </w:p>
    <w:p>
      <w:pPr>
        <w:spacing w:after="120" w:before="0"/>
      </w:pPr>
      <w:r>
        <w:rPr>
          <w:b w:val="false"/>
          <w:bCs w:val="false"/>
          <w:i w:val="false"/>
          <w:iCs w:val="false"/>
        </w:rPr>
        <w:t xml:space="preserve">After aggregation and corrections, the AIPFII security-contribution sum matches the StatPro fund-level Contribution row to machine precision in every month. The combined 20-year NET monthly series ties to LP-level NAV. Cumulative NET return is computed by direct multiplicative compounding of monthly returns; annualised return uses (1 + total)^(1/years) − 1.</w:t>
      </w:r>
    </w:p>
    <w:p>
      <w:r>
        <w:br w:type="page"/>
      </w:r>
    </w:p>
    <w:p>
      <w:pPr>
        <w:pStyle w:val="Heading1"/>
        <w:spacing w:after="120" w:before="240"/>
      </w:pPr>
      <w:r>
        <w:rPr>
          <w:b/>
          <w:bCs/>
          <w:color w:val="1F4E79"/>
          <w:sz w:val="30"/>
          <w:szCs w:val="30"/>
        </w:rPr>
        <w:t xml:space="preserve">3. The 20-Year LP-Level NET Return Record</w:t>
      </w:r>
    </w:p>
    <w:p>
      <w:pPr>
        <w:spacing w:after="120" w:before="0"/>
      </w:pPr>
      <w:r>
        <w:rPr>
          <w:b w:val="false"/>
          <w:bCs w:val="false"/>
          <w:i w:val="false"/>
          <w:iCs w:val="false"/>
        </w:rPr>
        <w:t xml:space="preserve">The team has been running the same investment process across two funds since January 2006 — Öresund / Creades for nine years and AIPFII for the most recent eleven years. The combined LP-level NET track record spans 236 months and includes two complete equity cycles (the 2008 Global Financial Crisis and the 2018–2020 COVID cycle).</w:t>
      </w:r>
    </w:p>
    <w:p>
      <w:pPr>
        <w:pStyle w:val="Heading2"/>
        <w:spacing w:after="80" w:before="200"/>
      </w:pPr>
      <w:r>
        <w:rPr>
          <w:b/>
          <w:bCs/>
          <w:color w:val="1F4E79"/>
          <w:sz w:val="24"/>
          <w:szCs w:val="24"/>
        </w:rPr>
        <w:t xml:space="preserve">3.1 Headline numbers</w:t>
      </w:r>
    </w:p>
    <w:p>
      <w:pPr>
        <w:pStyle w:val="ListParagraph"/>
        <w:numPr>
          <w:ilvl w:val="0"/>
          <w:numId w:val="2"/>
        </w:numPr>
        <w:spacing w:after="60"/>
      </w:pPr>
      <w:r>
        <w:rPr>
          <w:b/>
          <w:bCs/>
        </w:rPr>
        <w:t xml:space="preserve">Cumulative NET return: +1,402% </w:t>
      </w:r>
      <w:r>
        <w:t xml:space="preserve">over 19.67 years</w:t>
      </w:r>
    </w:p>
    <w:p>
      <w:pPr>
        <w:pStyle w:val="ListParagraph"/>
        <w:numPr>
          <w:ilvl w:val="0"/>
          <w:numId w:val="2"/>
        </w:numPr>
        <w:spacing w:after="60"/>
      </w:pPr>
      <w:r>
        <w:rPr>
          <w:b/>
          <w:bCs/>
        </w:rPr>
        <w:t xml:space="preserve">Annualised NET return: +14.77%/year </w:t>
      </w:r>
      <w:r>
        <w:t xml:space="preserve">net of all fees, including performance fees and high-water mark</w:t>
      </w:r>
    </w:p>
    <w:p>
      <w:pPr>
        <w:pStyle w:val="ListParagraph"/>
        <w:numPr>
          <w:ilvl w:val="0"/>
          <w:numId w:val="2"/>
        </w:numPr>
        <w:spacing w:after="60"/>
      </w:pPr>
      <w:r>
        <w:rPr>
          <w:b/>
          <w:bCs/>
        </w:rPr>
        <w:t xml:space="preserve">Benchmark cumulative: +383% </w:t>
      </w:r>
      <w:r>
        <w:t xml:space="preserve">(SIX Return Index 2006-2014, MSCI 2015-2026)</w:t>
      </w:r>
    </w:p>
    <w:p>
      <w:pPr>
        <w:pStyle w:val="ListParagraph"/>
        <w:numPr>
          <w:ilvl w:val="0"/>
          <w:numId w:val="2"/>
        </w:numPr>
        <w:spacing w:after="60"/>
      </w:pPr>
      <w:r>
        <w:rPr>
          <w:b/>
          <w:bCs/>
        </w:rPr>
        <w:t xml:space="preserve">Annualised alpha NET of fees: +6.0 percentage points per year</w:t>
      </w:r>
      <w:r>
        <w:t xml:space="preserve"> across the full 20-year window</w:t>
      </w:r>
    </w:p>
    <w:p>
      <w:pPr>
        <w:pStyle w:val="ListParagraph"/>
        <w:numPr>
          <w:ilvl w:val="0"/>
          <w:numId w:val="2"/>
        </w:numPr>
        <w:spacing w:after="60"/>
      </w:pPr>
      <w:r>
        <w:rPr>
          <w:b/>
          <w:bCs/>
        </w:rPr>
        <w:t xml:space="preserve">Multiplicative outperformance: 3.11× </w:t>
      </w:r>
      <w:r>
        <w:t xml:space="preserve">the relevant equity benchmark</w:t>
      </w:r>
    </w:p>
    <w:p>
      <w:pPr>
        <w:pStyle w:val="Heading2"/>
        <w:spacing w:after="80" w:before="200"/>
      </w:pPr>
      <w:r>
        <w:rPr>
          <w:b/>
          <w:bCs/>
          <w:color w:val="1F4E79"/>
          <w:sz w:val="24"/>
          <w:szCs w:val="24"/>
        </w:rPr>
        <w:t xml:space="preserve">3.2 Year-by-year — both funds on the same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80"/>
        <w:gridCol w:w="2280"/>
        <w:gridCol w:w="1280"/>
        <w:gridCol w:w="1820"/>
      </w:tblGrid>
      <w:t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Year</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Team NET %</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Benchmark %</w:t>
            </w:r>
          </w:p>
        </w:tc>
        <w:tc>
          <w:tcPr>
            <w:tcW w:type="dxa" w:w="1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Outp pp</w:t>
            </w:r>
          </w:p>
        </w:tc>
        <w:tc>
          <w:tcPr>
            <w:tcW w:type="dxa" w:w="18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Source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2006</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+31.4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+28.1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+3.3</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2007</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−8.1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−2.6</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−5.5</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2008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−41.4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−39.1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−2.3</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2009</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+82.1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+52.5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+29.6</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+28.3</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+26.7</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−13.5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+11.5</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2012</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−11.5</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2013</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+37.6</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+28.0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+9.6</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2014 H1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+21.4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+10.0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+11.4</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Öresund / Creades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2015</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+9.4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+11.9</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2016</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+26.7</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+6.2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+20.5</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2017</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+4.4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+21.7</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−17.3</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−12.7</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2019</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+23.9</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−29.7</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+16.7</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+14.4</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+2.3</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+200.4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+183.9</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2022</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+0.2</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−19.8</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+20.0</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2023</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−0.6</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+19.5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−20.1</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+24.9</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+28.8</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−3.9</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2025</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+3.9</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+2.9</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2026 YTD</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−2.2</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−2.7</w:t>
            </w:r>
          </w:p>
        </w:tc>
        <w:tc>
          <w:tcPr>
            <w:tcW w:type="dxa" w:w="1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AIPFII</w:t>
            </w:r>
          </w:p>
        </w:tc>
      </w:tr>
      <w:t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Cumulative</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+1,402%</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+383%</w:t>
            </w:r>
          </w:p>
        </w:tc>
        <w:tc>
          <w:tcPr>
            <w:tcW w:type="dxa" w:w="1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+1,019</w:t>
            </w:r>
          </w:p>
        </w:tc>
        <w:tc>
          <w:tcPr>
            <w:tcW w:type="dxa" w:w="18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val="false"/>
                <w:bCs w:val="false"/>
                <w:sz w:val="20"/>
                <w:szCs w:val="20"/>
              </w:rPr>
              <w:t xml:space="preserve"/>
            </w:r>
          </w:p>
        </w:tc>
      </w:tr>
      <w:t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Annualised</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+14.77%</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+7.78%</w:t>
            </w:r>
          </w:p>
        </w:tc>
        <w:tc>
          <w:tcPr>
            <w:tcW w:type="dxa" w:w="1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20"/>
                <w:szCs w:val="20"/>
              </w:rPr>
              <w:t xml:space="preserve">+5.99</w:t>
            </w:r>
          </w:p>
        </w:tc>
        <w:tc>
          <w:tcPr>
            <w:tcW w:type="dxa" w:w="18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val="false"/>
                <w:bCs w:val="false"/>
                <w:sz w:val="20"/>
                <w:szCs w:val="20"/>
              </w:rPr>
              <w:t xml:space="preserve"/>
            </w:r>
          </w:p>
        </w:tc>
      </w:tr>
    </w:tbl>
    <w:p>
      <w:pPr>
        <w:spacing w:after="100"/>
      </w:pPr>
      <w:r>
        <w:rPr>
          <w:b w:val="false"/>
          <w:bCs w:val="false"/>
          <w:i w:val="false"/>
          <w:iCs w:val="false"/>
        </w:rPr>
        <w:t xml:space="preserve"/>
      </w:r>
    </w:p>
    <w:p>
      <w:pPr>
        <w:pStyle w:val="Heading2"/>
        <w:spacing w:after="80" w:before="200"/>
      </w:pPr>
      <w:r>
        <w:rPr>
          <w:b/>
          <w:bCs/>
          <w:color w:val="1F4E79"/>
          <w:sz w:val="24"/>
          <w:szCs w:val="24"/>
        </w:rPr>
        <w:t xml:space="preserve">3.3 Two cycle-grade drawdowns survived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Drawdown</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Peak month</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Trough month</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Magnitude</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Recovered by</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2008 Global Financial Crisis</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May 2007</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Dec 2008</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−52.8%</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early 2010</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2018 / COVID cycle</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Apr 2017</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Mar 2020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−45.9%</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Sep 2020</w:t>
            </w:r>
          </w:p>
        </w:tc>
      </w:tr>
    </w:tbl>
    <w:p>
      <w:pPr>
        <w:spacing w:after="100"/>
      </w:pPr>
      <w:r>
        <w:rPr>
          <w:b w:val="false"/>
          <w:bCs w:val="false"/>
          <w:i w:val="false"/>
          <w:iCs w:val="false"/>
        </w:rPr>
        <w:t xml:space="preserve"/>
      </w:r>
    </w:p>
    <w:p>
      <w:pPr>
        <w:spacing w:after="120" w:before="0"/>
      </w:pPr>
      <w:r>
        <w:rPr>
          <w:b w:val="false"/>
          <w:bCs w:val="false"/>
          <w:i w:val="false"/>
          <w:iCs w:val="false"/>
        </w:rPr>
        <w:t xml:space="preserve">The 2008 drawdown is particularly relevant because it represents the largest cycle-grade equity stress event of the modern era, and the team navigated it with the same investment philosophy in place during the entire period.</w:t>
      </w:r>
    </w:p>
    <w:p>
      <w:r>
        <w:br w:type="page"/>
      </w:r>
    </w:p>
    <w:p>
      <w:pPr>
        <w:pStyle w:val="Heading1"/>
        <w:spacing w:after="120" w:before="240"/>
      </w:pPr>
      <w:r>
        <w:rPr>
          <w:b/>
          <w:bCs/>
          <w:color w:val="1F4E79"/>
          <w:sz w:val="30"/>
          <w:szCs w:val="30"/>
        </w:rPr>
        <w:t xml:space="preserve">4. Repeatability — the Decisive Evidence</w:t>
      </w:r>
    </w:p>
    <w:p>
      <w:pPr>
        <w:spacing w:after="120" w:before="0"/>
      </w:pPr>
      <w:r>
        <w:rPr>
          <w:b w:val="false"/>
          <w:bCs w:val="false"/>
          <w:i w:val="false"/>
          <w:iCs w:val="false"/>
        </w:rPr>
        <w:t xml:space="preserve">A common institutional objection to concentrated strategies is that decade-defining single-name wins cannot be relied on going forward. The 39-deal cadence across 20 years provides the data to test that objection directly.</w:t>
      </w:r>
    </w:p>
    <w:p>
      <w:pPr>
        <w:pStyle w:val="Heading2"/>
        <w:spacing w:after="80" w:before="200"/>
      </w:pPr>
      <w:r>
        <w:rPr>
          <w:b/>
          <w:bCs/>
          <w:color w:val="1F4E79"/>
          <w:sz w:val="24"/>
          <w:szCs w:val="24"/>
        </w:rPr>
        <w:t xml:space="preserve">4.1 Cadence of decisive winners across the full 20-year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Threshold</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 of deals</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 of total</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Avg years between</w:t>
            </w:r>
          </w:p>
        </w:tc>
        <w:tc>
          <w:tcPr>
            <w:tcW w:type="dxa" w:w="17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Notable wins</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All deals</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39</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MOIC &gt; 1× (winners)</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36</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92%</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0.56</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MOIC ≥ 3×</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36%</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Concentric, eWork, Note, Acne, Roko</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MOIC ≥ 5×</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26%</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Haldex, Brokk, Avanza, NGEx, AT</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MOIC ≥ 10×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Klarna (28×)</w:t>
            </w:r>
          </w:p>
        </w:tc>
      </w:tr>
    </w:tbl>
    <w:p>
      <w:pPr>
        <w:spacing w:after="100"/>
      </w:pPr>
      <w:r>
        <w:rPr>
          <w:b w:val="false"/>
          <w:bCs w:val="false"/>
          <w:i w:val="false"/>
          <w:iCs w:val="false"/>
        </w:rPr>
        <w:t xml:space="preserve"/>
      </w:r>
    </w:p>
    <w:p>
      <w:pPr>
        <w:spacing w:after="120" w:before="0"/>
      </w:pPr>
      <w:r>
        <w:rPr>
          <w:b w:val="false"/>
          <w:bCs w:val="false"/>
          <w:i w:val="false"/>
          <w:iCs w:val="false"/>
        </w:rPr>
        <w:t xml:space="preserve">The team has produced a 5× MOIC deal every 2.0 years on average across 20 years. That is not "once every 10–20 years" — it is roughly one such win every two years, with two of them (Klarna in 2007 and Athanase Tech in 2021) reaching the decade-defining magnitude.</w:t>
      </w:r>
    </w:p>
    <w:p>
      <w:pPr>
        <w:pStyle w:val="Heading2"/>
        <w:spacing w:after="80" w:before="200"/>
      </w:pPr>
      <w:r>
        <w:rPr>
          <w:b/>
          <w:bCs/>
          <w:color w:val="1F4E79"/>
          <w:sz w:val="24"/>
          <w:szCs w:val="24"/>
        </w:rPr>
        <w:t xml:space="preserve">4.2 Klarna is the historical parallel to Athanase Tech</w:t>
      </w:r>
    </w:p>
    <w:p>
      <w:pPr>
        <w:spacing w:after="120" w:before="0"/>
      </w:pPr>
      <w:r>
        <w:rPr>
          <w:b w:val="false"/>
          <w:bCs w:val="false"/>
          <w:i w:val="false"/>
          <w:iCs w:val="false"/>
        </w:rPr>
        <w:t xml:space="preserve">Klarna was a 28× MOIC win on a 29.7M SEK initial investment that returned 836M between 2007 and 2014. Athanase Tech was a 5.4× MOIC win on a 113.4M SEK investment that returned 612M between 2020 and 2021. Both deals were the product of the same process and both produced single-name contributions that materially shaped fund-level returns. The 20-year record contains two such events, not one.</w:t>
      </w:r>
    </w:p>
    <w:p>
      <w:pPr>
        <w:pStyle w:val="Heading2"/>
        <w:spacing w:after="80" w:before="200"/>
      </w:pPr>
      <w:r>
        <w:rPr>
          <w:b/>
          <w:bCs/>
          <w:color w:val="1F4E79"/>
          <w:sz w:val="24"/>
          <w:szCs w:val="24"/>
        </w:rPr>
        <w:t xml:space="preserve">4.3 Hit rate by thesis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1640"/>
        <w:gridCol w:w="1640"/>
        <w:gridCol w:w="1640"/>
        <w:gridCol w:w="1660"/>
      </w:tblGrid>
      <w:tr>
        <w:tc>
          <w:tcPr>
            <w:tcW w:type="dxa" w:w="27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Thesis type</w:t>
            </w:r>
          </w:p>
        </w:tc>
        <w:tc>
          <w:tcPr>
            <w:tcW w:type="dxa" w:w="1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 deals</w:t>
            </w:r>
          </w:p>
        </w:tc>
        <w:tc>
          <w:tcPr>
            <w:tcW w:type="dxa" w:w="1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Hit rate</w:t>
            </w:r>
          </w:p>
        </w:tc>
        <w:tc>
          <w:tcPr>
            <w:tcW w:type="dxa" w:w="1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Avg MOIC</w:t>
            </w:r>
          </w:p>
        </w:tc>
        <w:tc>
          <w:tcPr>
            <w:tcW w:type="dxa" w:w="1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Capital-wgt MOIC</w:t>
            </w:r>
          </w:p>
        </w:tc>
      </w:tr>
      <w:t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Poor capital allocation (the core thesis)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24</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96%</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2.29×</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2.11×</w:t>
            </w:r>
          </w:p>
        </w:tc>
      </w:tr>
      <w:t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Engaged owner</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100%</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6.63×</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5.75×</w:t>
            </w:r>
          </w:p>
        </w:tc>
      </w:tr>
      <w:t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Formation / growth</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75%</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3.95×</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3.22×</w:t>
            </w:r>
          </w:p>
        </w:tc>
      </w:tr>
    </w:tbl>
    <w:p>
      <w:pPr>
        <w:spacing w:after="100"/>
      </w:pPr>
      <w:r>
        <w:rPr>
          <w:b w:val="false"/>
          <w:bCs w:val="false"/>
          <w:i w:val="false"/>
          <w:iCs w:val="false"/>
        </w:rPr>
        <w:t xml:space="preserve"/>
      </w:r>
    </w:p>
    <w:p>
      <w:pPr>
        <w:pStyle w:val="Heading2"/>
        <w:spacing w:after="80" w:before="200"/>
      </w:pPr>
      <w:r>
        <w:rPr>
          <w:b/>
          <w:bCs/>
          <w:color w:val="1F4E79"/>
          <w:sz w:val="24"/>
          <w:szCs w:val="24"/>
        </w:rPr>
        <w:t xml:space="preserve">4.4 Losses are small and rare</w:t>
      </w:r>
    </w:p>
    <w:p>
      <w:pPr>
        <w:spacing w:after="120" w:before="0"/>
      </w:pPr>
      <w:r>
        <w:rPr>
          <w:b w:val="false"/>
          <w:bCs w:val="false"/>
          <w:i w:val="false"/>
          <w:iCs w:val="false"/>
        </w:rPr>
        <w:t xml:space="preserve">Three losses in 39 deals over 20 years: Usports (MOIC 0.31×, lost 66M), Actic (0.43×, lost 46M), HQ (0.57×, lost 291M). Total losses across 20 years: approximately 403M SEK against 12,974M returned on 4,935M invested — loss as a fraction of cumulative invested capital approximately 8%.</w:t>
      </w:r>
    </w:p>
    <w:p>
      <w:r>
        <w:br w:type="page"/>
      </w:r>
    </w:p>
    <w:p>
      <w:pPr>
        <w:pStyle w:val="Heading1"/>
        <w:spacing w:after="120" w:before="240"/>
      </w:pPr>
      <w:r>
        <w:rPr>
          <w:b/>
          <w:bCs/>
          <w:color w:val="1F4E79"/>
          <w:sz w:val="30"/>
          <w:szCs w:val="30"/>
        </w:rPr>
        <w:t xml:space="preserve">5. AIPFII Performance and Risk</w:t>
      </w:r>
    </w:p>
    <w:p>
      <w:pPr>
        <w:pStyle w:val="Heading2"/>
        <w:spacing w:after="80" w:before="200"/>
      </w:pPr>
      <w:r>
        <w:rPr>
          <w:b/>
          <w:bCs/>
          <w:color w:val="1F4E79"/>
          <w:sz w:val="24"/>
          <w:szCs w:val="24"/>
        </w:rPr>
        <w:t xml:space="preserve">5.1 AIPFII year-by-year (since fund inception,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Year</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AIPFII NET %</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MSCI IMI %</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 months</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Best month %</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Worst month %</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2015 (Mar-Dec)</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+9.4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−3.1</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+6.2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+7.5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−4.8</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+4.4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+21.7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+8.5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−3.9</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−11.1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+4.5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−7.7</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2019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+23.9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−9.7</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+14.4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−18.5</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+200.4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+16.5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+87.5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−0.4</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−19.8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+14.4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−5.3</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+19.5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+6.4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−7.0</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+24.9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+28.8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+6.0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−1.4</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+7.0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−3.0</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2026 YTD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−0.04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20"/>
                <w:szCs w:val="20"/>
              </w:rPr>
              <w:t xml:space="preserve">−2.2</w:t>
            </w:r>
          </w:p>
        </w:tc>
      </w:tr>
    </w:tbl>
    <w:p>
      <w:pPr>
        <w:spacing w:after="100"/>
      </w:pPr>
      <w:r>
        <w:rPr>
          <w:b w:val="false"/>
          <w:bCs w:val="false"/>
          <w:i w:val="false"/>
          <w:iCs w:val="false"/>
        </w:rPr>
        <w:t xml:space="preserve"/>
      </w:r>
    </w:p>
    <w:p>
      <w:pPr>
        <w:pStyle w:val="Heading2"/>
        <w:spacing w:after="80" w:before="200"/>
      </w:pPr>
      <w:r>
        <w:rPr>
          <w:b/>
          <w:bCs/>
          <w:color w:val="1F4E79"/>
          <w:sz w:val="24"/>
          <w:szCs w:val="24"/>
        </w:rPr>
        <w:t xml:space="preserve">5.2 Risk-adjusted return — Sortino across both windows</w:t>
      </w:r>
    </w:p>
    <w:p>
      <w:pPr>
        <w:spacing w:after="120" w:before="0"/>
      </w:pPr>
      <w:r>
        <w:rPr>
          <w:b w:val="false"/>
          <w:bCs w:val="false"/>
          <w:i w:val="false"/>
          <w:iCs w:val="false"/>
        </w:rPr>
        <w:t xml:space="preserve">Sortino is the relevant institutional measure given the right-skewed monthly distribution. Upside volatility is 3.9× downside volatility — the right shape. Sharpe penalises the +87.5% Feb-21 mark-up as if it were risk; Sortino measures only downside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Measure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AIPFII full series</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AIPFII ex Feb-21</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20-year combined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Months observed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236</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Mean monthly NET return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+1.91%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+1.14%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+1.40%</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Downside deviation (MAR =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2.76%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2.77%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3.13%</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Annualised Sharpe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0.62</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Annualised Sortino (MAR =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2.40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1.54</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20"/>
                <w:szCs w:val="20"/>
              </w:rPr>
              <w:t xml:space="preserve">Annualised Sortino (MAR = 6%/year)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1.63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0.92</w:t>
            </w:r>
          </w:p>
        </w:tc>
      </w:tr>
    </w:tbl>
    <w:p>
      <w:r>
        <w:br w:type="page"/>
      </w:r>
    </w:p>
    <w:p>
      <w:pPr>
        <w:pStyle w:val="Heading1"/>
        <w:spacing w:after="120" w:before="240"/>
      </w:pPr>
      <w:r>
        <w:rPr>
          <w:b/>
          <w:bCs/>
          <w:color w:val="1F4E79"/>
          <w:sz w:val="30"/>
          <w:szCs w:val="30"/>
        </w:rPr>
        <w:t xml:space="preserve">6. Investment-Skill Assessment (AIPFII Position-Level)</w:t>
      </w:r>
    </w:p>
    <w:p>
      <w:pPr>
        <w:pStyle w:val="Heading2"/>
        <w:spacing w:after="80" w:before="200"/>
      </w:pPr>
      <w:r>
        <w:rPr>
          <w:b/>
          <w:bCs/>
          <w:color w:val="1F4E79"/>
          <w:sz w:val="24"/>
          <w:szCs w:val="24"/>
        </w:rPr>
        <w:t xml:space="preserve">6.1 Hit ratio and win/loss asymmetry</w:t>
      </w:r>
    </w:p>
    <w:p>
      <w:pPr>
        <w:spacing w:after="120" w:before="0"/>
      </w:pPr>
      <w:r>
        <w:rPr>
          <w:b w:val="false"/>
          <w:bCs w:val="false"/>
          <w:i w:val="false"/>
          <w:iCs w:val="false"/>
        </w:rPr>
        <w:t xml:space="preserve">Across the 189 AIPFII investment securities: 60.8% ended net positive. Mean winning contribution +2.90pp; mean losing contribution −1.06pp; win/loss size ratio 2.74×. Total winning contributions +333pp against total losing contributions of −61pp.</w:t>
      </w:r>
    </w:p>
    <w:p>
      <w:pPr>
        <w:pStyle w:val="Heading2"/>
        <w:spacing w:after="80" w:before="200"/>
      </w:pPr>
      <w:r>
        <w:rPr>
          <w:b/>
          <w:bCs/>
          <w:color w:val="1F4E79"/>
          <w:sz w:val="24"/>
          <w:szCs w:val="24"/>
        </w:rPr>
        <w:t xml:space="preserve">6.2 Conviction sizing — the principal skill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2130"/>
        <w:gridCol w:w="2130"/>
      </w:tblGrid>
      <w:t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Avg weight bucket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 positions</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Hit rate</w:t>
            </w:r>
          </w:p>
        </w:tc>
        <w:tc>
          <w:tcPr>
            <w:tcW w:type="dxa" w:w="21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Avg cum contribution</w:t>
            </w:r>
          </w:p>
        </w:tc>
        <w:tc>
          <w:tcPr>
            <w:tcW w:type="dxa" w:w="21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Total contribution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sz w:val="20"/>
                <w:szCs w:val="20"/>
              </w:rPr>
              <w:t xml:space="preserve">&lt; 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65.5%</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+0.07%</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+6.2pp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sz w:val="20"/>
                <w:szCs w:val="20"/>
              </w:rPr>
              <w:t xml:space="preserve">1 – 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57.4%</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+0.04%</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+1.9pp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sz w:val="20"/>
                <w:szCs w:val="20"/>
              </w:rPr>
              <w:t xml:space="preserve">3 – 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62.5%</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+2.57%</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+41.2pp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sz w:val="20"/>
                <w:szCs w:val="20"/>
              </w:rPr>
              <w:t xml:space="preserve">5 – 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63.6%</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+1.41%</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+15.6pp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sz w:val="20"/>
                <w:szCs w:val="20"/>
              </w:rPr>
              <w:t xml:space="preserve">≥ 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85.7%</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+29.82%</w:t>
            </w:r>
          </w:p>
        </w:tc>
        <w:tc>
          <w:tcPr>
            <w:tcW w:type="dxa" w:w="2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+208.8pp</w:t>
            </w:r>
          </w:p>
        </w:tc>
      </w:tr>
    </w:tbl>
    <w:p>
      <w:pPr>
        <w:spacing w:after="80"/>
      </w:pPr>
      <w:r>
        <w:rPr>
          <w:b w:val="false"/>
          <w:bCs w:val="false"/>
          <w:i w:val="false"/>
          <w:iCs w:val="false"/>
        </w:rPr>
        <w:t xml:space="preserve"/>
      </w:r>
    </w:p>
    <w:p>
      <w:pPr>
        <w:spacing w:after="120" w:before="0"/>
      </w:pPr>
      <w:r>
        <w:rPr>
          <w:b w:val="false"/>
          <w:bCs w:val="false"/>
          <w:i w:val="false"/>
          <w:iCs w:val="false"/>
        </w:rPr>
        <w:t xml:space="preserve">Seven positions averaged a weight of ≥10% over their holding period. These seven names hit at 85.7% and contributed +209pp — approximately 77% of the entire positive book. Within the winners cohort the Spearman rank correlation between average weight and cumulative contribution is +0.73.</w:t>
      </w:r>
    </w:p>
    <w:p>
      <w:pPr>
        <w:pStyle w:val="Heading2"/>
        <w:spacing w:after="80" w:before="200"/>
      </w:pPr>
      <w:r>
        <w:rPr>
          <w:b/>
          <w:bCs/>
          <w:color w:val="1F4E79"/>
          <w:sz w:val="24"/>
          <w:szCs w:val="24"/>
        </w:rPr>
        <w:t xml:space="preserve">6.3 Sensitivity analysis</w:t>
      </w:r>
    </w:p>
    <w:p>
      <w:pPr>
        <w:pStyle w:val="ListParagraph"/>
        <w:numPr>
          <w:ilvl w:val="0"/>
          <w:numId w:val="2"/>
        </w:numPr>
        <w:spacing w:after="60"/>
      </w:pPr>
      <w:r>
        <w:rPr>
          <w:b/>
          <w:bCs/>
        </w:rPr>
        <w:t xml:space="preserve">Removing all positions with max weight &lt; 5% </w:t>
      </w:r>
      <w:r>
        <w:t xml:space="preserve">(137 satellite positions) and redistributing pro-rata improves the AIPFII compounded contribution from +858% to +1,003% — the strategy is fundamentally a 30-40 name book.</w:t>
      </w:r>
    </w:p>
    <w:p>
      <w:pPr>
        <w:pStyle w:val="ListParagraph"/>
        <w:numPr>
          <w:ilvl w:val="0"/>
          <w:numId w:val="2"/>
        </w:numPr>
        <w:spacing w:after="60"/>
      </w:pPr>
      <w:r>
        <w:rPr>
          <w:b/>
          <w:bCs/>
        </w:rPr>
        <w:t xml:space="preserve">Without Athanase Tech entirely, </w:t>
      </w:r>
      <w:r>
        <w:t xml:space="preserve">AIPFII compounded contribution drops to +321% (≈ 13.7% gross annualised, ~10% net) — still competitive even excluding the single largest contributor.</w:t>
      </w:r>
    </w:p>
    <w:p>
      <w:pPr>
        <w:pStyle w:val="ListParagraph"/>
        <w:numPr>
          <w:ilvl w:val="0"/>
          <w:numId w:val="2"/>
        </w:numPr>
        <w:spacing w:after="60"/>
      </w:pPr>
      <w:r>
        <w:rPr>
          <w:b/>
          <w:bCs/>
        </w:rPr>
        <w:t xml:space="preserve">Without both Athanase Tech and Athanase Innovation, </w:t>
      </w:r>
      <w:r>
        <w:t xml:space="preserve">AIPFII compounded contribution is +350% (≈ 14.5% gross / ~11% net).</w:t>
      </w:r>
    </w:p>
    <w:p>
      <w:pPr>
        <w:pStyle w:val="Heading2"/>
        <w:spacing w:after="80" w:before="200"/>
      </w:pPr>
      <w:r>
        <w:rPr>
          <w:b/>
          <w:bCs/>
          <w:color w:val="1F4E79"/>
          <w:sz w:val="24"/>
          <w:szCs w:val="24"/>
        </w:rPr>
        <w:t xml:space="preserve">6.4 Realisation status</w:t>
      </w:r>
    </w:p>
    <w:p>
      <w:pPr>
        <w:spacing w:after="120" w:before="0"/>
      </w:pPr>
      <w:r>
        <w:rPr>
          <w:b w:val="false"/>
          <w:bCs w:val="false"/>
          <w:i w:val="false"/>
          <w:iCs w:val="false"/>
        </w:rPr>
        <w:t xml:space="preserve">The largest contributors are realised cash. Athanase Tech was fully realised at 6 kr per share, returning 612M SEK on a 113M investment (5.4× MOIC). Klarna in the prior fund was realised at 836M return on a 30M investment (28× MOIC). The headline numbers represent realised LP cash, not unrealised valuations.</w:t>
      </w:r>
    </w:p>
    <w:p>
      <w:r>
        <w:br w:type="page"/>
      </w:r>
    </w:p>
    <w:p>
      <w:pPr>
        <w:pStyle w:val="Heading1"/>
        <w:spacing w:after="120" w:before="240"/>
      </w:pPr>
      <w:r>
        <w:rPr>
          <w:b/>
          <w:bCs/>
          <w:color w:val="1F4E79"/>
          <w:sz w:val="30"/>
          <w:szCs w:val="30"/>
        </w:rPr>
        <w:t xml:space="preserve">7. Risk and Allocation Considerations</w:t>
      </w:r>
    </w:p>
    <w:p>
      <w:pPr>
        <w:pStyle w:val="Heading2"/>
        <w:spacing w:after="80" w:before="200"/>
      </w:pPr>
      <w:r>
        <w:rPr>
          <w:b/>
          <w:bCs/>
          <w:color w:val="1F4E79"/>
          <w:sz w:val="24"/>
          <w:szCs w:val="24"/>
        </w:rPr>
        <w:t xml:space="preserve">7.1 Concentration risk</w:t>
      </w:r>
    </w:p>
    <w:p>
      <w:pPr>
        <w:spacing w:after="120" w:before="0"/>
      </w:pPr>
      <w:r>
        <w:rPr>
          <w:b w:val="false"/>
          <w:bCs w:val="false"/>
          <w:i w:val="false"/>
          <w:iCs w:val="false"/>
        </w:rPr>
        <w:t xml:space="preserve">Concentration is the defining feature of the strategy and has been across 20 years. Allocators should size their AIPFII position to accept that headline performance in any given year is materially exposed to 8–12 names, and in cyclical years (such as 2021) can be dominated by one. The 20-year cadence data shows the strategy produces approximately one concentrated anchor per year on average — but the magnitude of those anchors is highly variable.</w:t>
      </w:r>
    </w:p>
    <w:p>
      <w:pPr>
        <w:pStyle w:val="Heading2"/>
        <w:spacing w:after="80" w:before="200"/>
      </w:pPr>
      <w:r>
        <w:rPr>
          <w:b/>
          <w:bCs/>
          <w:color w:val="1F4E79"/>
          <w:sz w:val="24"/>
          <w:szCs w:val="24"/>
        </w:rPr>
        <w:t xml:space="preserve">7.2 Drawdown and volatility</w:t>
      </w:r>
    </w:p>
    <w:p>
      <w:pPr>
        <w:pStyle w:val="ListParagraph"/>
        <w:numPr>
          <w:ilvl w:val="0"/>
          <w:numId w:val="2"/>
        </w:numPr>
        <w:spacing w:after="60"/>
      </w:pPr>
      <w:r>
        <w:rPr>
          <w:b/>
          <w:bCs/>
        </w:rPr>
        <w:t xml:space="preserve">Largest historical drawdown: </w:t>
      </w:r>
      <w:r>
        <w:t xml:space="preserve">−52.8% during the 2008 Global Financial Crisis, fully recovered by 2010.</w:t>
      </w:r>
    </w:p>
    <w:p>
      <w:pPr>
        <w:pStyle w:val="ListParagraph"/>
        <w:numPr>
          <w:ilvl w:val="0"/>
          <w:numId w:val="2"/>
        </w:numPr>
        <w:spacing w:after="60"/>
      </w:pPr>
      <w:r>
        <w:rPr>
          <w:b/>
          <w:bCs/>
        </w:rPr>
        <w:t xml:space="preserve">Second largest drawdown: </w:t>
      </w:r>
      <w:r>
        <w:t xml:space="preserve">−45.9% from April 2017 to March 2020 (combined 2018 bear plus COVID), recovered by September 2020.</w:t>
      </w:r>
    </w:p>
    <w:p>
      <w:pPr>
        <w:pStyle w:val="ListParagraph"/>
        <w:numPr>
          <w:ilvl w:val="0"/>
          <w:numId w:val="2"/>
        </w:numPr>
        <w:spacing w:after="60"/>
      </w:pPr>
      <w:r>
        <w:rPr>
          <w:b/>
          <w:bCs/>
        </w:rPr>
        <w:t xml:space="preserve">Implied allocation discipline: </w:t>
      </w:r>
      <w:r>
        <w:t xml:space="preserve">an LP committing to AIPFII should be able to tolerate ~50% peak-to-trough mark-to-market drawdown without forced reduction.</w:t>
      </w:r>
    </w:p>
    <w:p>
      <w:pPr>
        <w:pStyle w:val="Heading2"/>
        <w:spacing w:after="80" w:before="200"/>
      </w:pPr>
      <w:r>
        <w:rPr>
          <w:b/>
          <w:bCs/>
          <w:color w:val="1F4E79"/>
          <w:sz w:val="24"/>
          <w:szCs w:val="24"/>
        </w:rPr>
        <w:t xml:space="preserve">7.3 Capacity and style drift</w:t>
      </w:r>
    </w:p>
    <w:p>
      <w:pPr>
        <w:spacing w:after="120" w:before="0"/>
      </w:pPr>
      <w:r>
        <w:rPr>
          <w:b w:val="false"/>
          <w:bCs w:val="false"/>
          <w:i w:val="false"/>
          <w:iCs w:val="false"/>
        </w:rPr>
        <w:t xml:space="preserve">Reviewing the deal-level mix over 20 years, there is no evidence of meaningful style drift. The team has consistently pursued engaged ownership in mid-cap businesses with capital-misallocation patterns. The geographic universe is global, gated by the team's ability to obtain a board seat or otherwise influence management — not by region.</w:t>
      </w:r>
    </w:p>
    <w:p>
      <w:pPr>
        <w:pStyle w:val="Heading2"/>
        <w:spacing w:after="80" w:before="200"/>
      </w:pPr>
      <w:r>
        <w:rPr>
          <w:b/>
          <w:bCs/>
          <w:color w:val="1F4E79"/>
          <w:sz w:val="24"/>
          <w:szCs w:val="24"/>
        </w:rPr>
        <w:t xml:space="preserve">7.4 Operational and data quality</w:t>
      </w:r>
    </w:p>
    <w:p>
      <w:pPr>
        <w:spacing w:after="120" w:before="0"/>
      </w:pPr>
      <w:r>
        <w:rPr>
          <w:b w:val="false"/>
          <w:bCs w:val="false"/>
          <w:i w:val="false"/>
          <w:iCs w:val="false"/>
        </w:rPr>
        <w:t xml:space="preserve">Several data artefacts were identified in the StatPro feed and corrected during this evaluation. None reflect operational issues at the manager. Allocators should expect the manager's own performance reporting to be the authoritative source over raw third-party data.</w:t>
      </w:r>
    </w:p>
    <w:p>
      <w:r>
        <w:br w:type="page"/>
      </w:r>
    </w:p>
    <w:p>
      <w:pPr>
        <w:pStyle w:val="Heading1"/>
        <w:spacing w:after="120" w:before="240"/>
      </w:pPr>
      <w:r>
        <w:rPr>
          <w:b/>
          <w:bCs/>
          <w:color w:val="1F4E79"/>
          <w:sz w:val="30"/>
          <w:szCs w:val="30"/>
        </w:rPr>
        <w:t xml:space="preserve">8. Strategic Risk Reframing — Reputational Friction and the Public J-Curve as Features</w:t>
      </w:r>
    </w:p>
    <w:p>
      <w:pPr>
        <w:spacing w:after="120" w:before="0"/>
      </w:pPr>
      <w:r>
        <w:rPr>
          <w:b w:val="false"/>
          <w:bCs w:val="false"/>
          <w:i w:val="false"/>
          <w:iCs w:val="false"/>
        </w:rPr>
        <w:t xml:space="preserve">The most common Investment Committee objections to this strategy concentrate on two visible risks: (1) the reputational exposure of an engaged-ownership campaign that periodically becomes public, and (2) the optical pain of a public J-curve as the manager builds positions into shareholder fatigue and absorbs further price weakness before the thesis matures. This section reframes both as structural features of the strategy rather than as costs to be tolerated.</w:t>
      </w:r>
    </w:p>
    <w:p>
      <w:pPr>
        <w:pBdr>
          <w:left w:val="single" w:color="1F4E79" w:sz="16" w:space="12"/>
        </w:pBdr>
        <w:spacing w:after="160" w:before="120"/>
        <w:ind w:left="720" w:right="720"/>
      </w:pPr>
      <w:r>
        <w:rPr>
          <w:i/>
          <w:iCs/>
          <w:color w:val="5A5A5A"/>
          <w:sz w:val="22"/>
          <w:szCs w:val="22"/>
        </w:rPr>
        <w:t xml:space="preserve">The short answer is yes — the noise is not an unfortunate by-product of the strategy. It is the mechanism that unlocks the alpha. For a committee to approve a mandate like this, the narrative must transition from "corporate raider" to "industrial constructivist."</w:t>
      </w:r>
    </w:p>
    <w:p>
      <w:pPr>
        <w:pStyle w:val="Heading2"/>
        <w:spacing w:after="80" w:before="200"/>
      </w:pPr>
      <w:r>
        <w:rPr>
          <w:b/>
          <w:bCs/>
          <w:color w:val="1F4E79"/>
          <w:sz w:val="24"/>
          <w:szCs w:val="24"/>
        </w:rPr>
        <w:t xml:space="preserve">8.1 Reputational friction is the mechanism, not a cost</w:t>
      </w:r>
    </w:p>
    <w:p>
      <w:pPr>
        <w:spacing w:after="60" w:before="120"/>
      </w:pPr>
      <w:r>
        <w:rPr>
          <w:b/>
          <w:bCs/>
          <w:color w:val="5A5A5A"/>
          <w:sz w:val="22"/>
          <w:szCs w:val="22"/>
        </w:rPr>
        <w:t xml:space="preserve">The ultimate "G" in ESG</w:t>
      </w:r>
    </w:p>
    <w:p>
      <w:pPr>
        <w:spacing w:after="120" w:before="0"/>
      </w:pPr>
      <w:r>
        <w:rPr>
          <w:b w:val="false"/>
          <w:bCs w:val="false"/>
          <w:i w:val="false"/>
          <w:iCs w:val="false"/>
        </w:rPr>
        <w:t xml:space="preserve">Active, constructivist investing is the purest application of the "G" (Governance) in ESG. This is the strongest defence for pension funds and endowments with strict governance mandates.</w:t>
      </w:r>
    </w:p>
    <w:p>
      <w:pPr>
        <w:pStyle w:val="ListParagraph"/>
        <w:numPr>
          <w:ilvl w:val="0"/>
          <w:numId w:val="2"/>
        </w:numPr>
        <w:spacing w:after="60"/>
      </w:pPr>
      <w:r>
        <w:rPr>
          <w:b/>
          <w:bCs/>
        </w:rPr>
        <w:t xml:space="preserve">Saving sound businesses from bad management. </w:t>
      </w:r>
      <w:r>
        <w:t xml:space="preserve">When a manager steps in to correct poor capital allocation, the activity is corporate triage. Leaving an incompetent management team in place slowly bleeds a company's resources and ultimately threatens long-term employment and industrial stability. The intervention is a societal benefit, not an externality.</w:t>
      </w:r>
    </w:p>
    <w:p>
      <w:pPr>
        <w:pStyle w:val="ListParagraph"/>
        <w:numPr>
          <w:ilvl w:val="0"/>
          <w:numId w:val="2"/>
        </w:numPr>
        <w:spacing w:after="60"/>
      </w:pPr>
      <w:r>
        <w:rPr>
          <w:b/>
          <w:bCs/>
        </w:rPr>
        <w:t xml:space="preserve">The constructivist reality. </w:t>
      </w:r>
      <w:r>
        <w:t xml:space="preserve">Taking a board seat to force operational discipline — as in the historical Haldex or Concentric transformations — is not asset stripping. It is the application of an engineered, rigorous framework to fix the underlying machinery of a public business. The manager acts as the immune system of the public markets.</w:t>
      </w:r>
    </w:p>
    <w:p>
      <w:pPr>
        <w:spacing w:after="60" w:before="120"/>
      </w:pPr>
      <w:r>
        <w:rPr>
          <w:b/>
          <w:bCs/>
          <w:color w:val="5A5A5A"/>
          <w:sz w:val="22"/>
          <w:szCs w:val="22"/>
        </w:rPr>
        <w:t xml:space="preserve">The reputational noise IS the catalyst</w:t>
      </w:r>
    </w:p>
    <w:p>
      <w:pPr>
        <w:spacing w:after="120" w:before="0"/>
      </w:pPr>
      <w:r>
        <w:rPr>
          <w:b w:val="false"/>
          <w:bCs w:val="false"/>
          <w:i w:val="false"/>
          <w:iCs w:val="false"/>
        </w:rPr>
        <w:t xml:space="preserve">In passive or broadly diversified strategies, investors are entirely at the mercy of the market eventually recognising a stock's intrinsic value. In engaged ownership, the public engagement is what compresses the timeline.</w:t>
      </w:r>
    </w:p>
    <w:p>
      <w:pPr>
        <w:pStyle w:val="ListParagraph"/>
        <w:numPr>
          <w:ilvl w:val="0"/>
          <w:numId w:val="2"/>
        </w:numPr>
        <w:spacing w:after="60"/>
      </w:pPr>
      <w:r>
        <w:rPr>
          <w:b/>
          <w:bCs/>
        </w:rPr>
        <w:t xml:space="preserve">Forcing the timeline. </w:t>
      </w:r>
      <w:r>
        <w:t xml:space="preserve">An engaged owner dictates when value gets recognised. The public messiness of an intervention forces the market to immediately re-evaluate the company. Quiet engagement does not produce repricing — friction does.</w:t>
      </w:r>
    </w:p>
    <w:p>
      <w:pPr>
        <w:pStyle w:val="ListParagraph"/>
        <w:numPr>
          <w:ilvl w:val="0"/>
          <w:numId w:val="2"/>
        </w:numPr>
        <w:spacing w:after="60"/>
      </w:pPr>
      <w:r>
        <w:rPr>
          <w:b/>
          <w:bCs/>
        </w:rPr>
        <w:t xml:space="preserve">The coattail effect. </w:t>
      </w:r>
      <w:r>
        <w:t xml:space="preserve">When a manager with a known 20-year track record of multiple 5× MOIC wins publicly files on a company, other sophisticated capital follows. The reputational weight of the manager creates a self-fulfilling repricing event. The visibility an IC fears is precisely the mechanism that drives the returns.</w:t>
      </w:r>
    </w:p>
    <w:p>
      <w:pPr>
        <w:spacing w:after="60" w:before="120"/>
      </w:pPr>
      <w:r>
        <w:rPr>
          <w:b/>
          <w:bCs/>
          <w:color w:val="5A5A5A"/>
          <w:sz w:val="22"/>
          <w:szCs w:val="22"/>
        </w:rPr>
        <w:t xml:space="preserve">The moat of discomfort</w:t>
      </w:r>
    </w:p>
    <w:p>
      <w:pPr>
        <w:spacing w:after="120" w:before="0"/>
      </w:pPr>
      <w:r>
        <w:rPr>
          <w:b w:val="false"/>
          <w:bCs w:val="false"/>
          <w:i w:val="false"/>
          <w:iCs w:val="false"/>
        </w:rPr>
        <w:t xml:space="preserve">If this strategy were quiet, polite and easy to execute, the alpha would have been arbitraged away a decade ago. The reputational friction is the structural barrier to entry.</w:t>
      </w:r>
    </w:p>
    <w:p>
      <w:pPr>
        <w:pStyle w:val="ListParagraph"/>
        <w:numPr>
          <w:ilvl w:val="0"/>
          <w:numId w:val="2"/>
        </w:numPr>
        <w:spacing w:after="60"/>
      </w:pPr>
      <w:r>
        <w:rPr>
          <w:b/>
          <w:bCs/>
        </w:rPr>
        <w:t xml:space="preserve">A natural barrier to entry. </w:t>
      </w:r>
      <w:r>
        <w:t xml:space="preserve">Very few managers have the industrial background, the operational stamina and the thick skin required to wage a multi-year campaign to fix a mid-cap company. The 20-year evidence shows this team has it; the absence of obvious comparables shows that most others do not.</w:t>
      </w:r>
    </w:p>
    <w:p>
      <w:pPr>
        <w:pStyle w:val="ListParagraph"/>
        <w:numPr>
          <w:ilvl w:val="0"/>
          <w:numId w:val="2"/>
        </w:numPr>
        <w:spacing w:after="60"/>
      </w:pPr>
      <w:r>
        <w:rPr>
          <w:b/>
          <w:bCs/>
        </w:rPr>
        <w:t xml:space="preserve">Less competition, better entry pricing. </w:t>
      </w:r>
      <w:r>
        <w:t xml:space="preserve">Most institutional capital is terrified of headline risk and avoids doing the heavy lifting itself. This leaves a persistent pricing inefficiency for the few managers willing to endure the discomfort of public engaged ownership. The reputational moat is the source of the pricing edge.</w:t>
      </w:r>
    </w:p>
    <w:p>
      <w:pPr>
        <w:spacing w:after="60" w:before="120"/>
      </w:pPr>
      <w:r>
        <w:rPr>
          <w:b/>
          <w:bCs/>
          <w:color w:val="5A5A5A"/>
          <w:sz w:val="22"/>
          <w:szCs w:val="22"/>
        </w:rPr>
        <w:t xml:space="preserve">Exchanging optical risk for fundamental de-risking</w:t>
      </w:r>
    </w:p>
    <w:p>
      <w:pPr>
        <w:spacing w:after="120" w:before="0"/>
      </w:pPr>
      <w:r>
        <w:rPr>
          <w:b w:val="false"/>
          <w:bCs w:val="false"/>
          <w:i w:val="false"/>
          <w:iCs w:val="false"/>
        </w:rPr>
        <w:t xml:space="preserve">This is the critical pivot for an IC focused on traditional risk metrics.</w:t>
      </w:r>
    </w:p>
    <w:p>
      <w:pPr>
        <w:pStyle w:val="ListParagraph"/>
        <w:numPr>
          <w:ilvl w:val="0"/>
          <w:numId w:val="2"/>
        </w:numPr>
        <w:spacing w:after="60"/>
      </w:pPr>
      <w:r>
        <w:rPr>
          <w:b/>
          <w:bCs/>
        </w:rPr>
        <w:t xml:space="preserve">The insider advantage. </w:t>
      </w:r>
      <w:r>
        <w:t xml:space="preserve">From the outside, a public activist battle looks risky. From the manager's perspective, securing a board seat fundamentally de-risks the investment. The team transitions from relying on public earnings calls to direct oversight of cash flows, capital expenditure and executive compensation. The strategy trades public optical volatility for private operational control.</w:t>
      </w:r>
    </w:p>
    <w:p>
      <w:pPr>
        <w:pStyle w:val="ListParagraph"/>
        <w:numPr>
          <w:ilvl w:val="0"/>
          <w:numId w:val="2"/>
        </w:numPr>
        <w:spacing w:after="60"/>
      </w:pPr>
      <w:r>
        <w:rPr>
          <w:b/>
          <w:bCs/>
        </w:rPr>
        <w:t xml:space="preserve">Underwriting the right risk. </w:t>
      </w:r>
      <w:r>
        <w:t xml:space="preserve">The relevant institutional question is not whether the news flow looks calm — it is whether the underlying business risk is reducing. Once a board seat is secured, fundamental risk is materially lower than at the moment of public filing, regardless of where the share price trades.</w:t>
      </w:r>
    </w:p>
    <w:p>
      <w:pPr>
        <w:pBdr>
          <w:left w:val="single" w:color="1F4E79" w:sz="16" w:space="12"/>
        </w:pBdr>
        <w:spacing w:after="160" w:before="120"/>
        <w:ind w:left="720" w:right="720"/>
      </w:pPr>
      <w:r>
        <w:rPr>
          <w:i/>
          <w:iCs/>
          <w:color w:val="5A5A5A"/>
          <w:sz w:val="22"/>
          <w:szCs w:val="22"/>
        </w:rPr>
        <w:t xml:space="preserve">The fund is essentially deploying private equity-style operational turnarounds within the public markets. The temporary mark-to-market pain is simply the toll paid for liquidity.</w:t>
      </w:r>
    </w:p>
    <w:p>
      <w:pPr>
        <w:pStyle w:val="Heading2"/>
        <w:spacing w:after="80" w:before="200"/>
      </w:pPr>
      <w:r>
        <w:rPr>
          <w:b/>
          <w:bCs/>
          <w:color w:val="1F4E79"/>
          <w:sz w:val="24"/>
          <w:szCs w:val="24"/>
        </w:rPr>
        <w:t xml:space="preserve">8.2 The visible public J-curve is a tradable feature</w:t>
      </w:r>
    </w:p>
    <w:p>
      <w:pPr>
        <w:spacing w:after="120" w:before="0"/>
      </w:pPr>
      <w:r>
        <w:rPr>
          <w:b w:val="false"/>
          <w:bCs w:val="false"/>
          <w:i w:val="false"/>
          <w:iCs w:val="false"/>
        </w:rPr>
        <w:t xml:space="preserve">In private equity the J-curve is purely an accounting artefact — LPs absorb management fees and setup costs before assets are marked up. In a public constructivist strategy the J-curve is a live, observable, tradable event. That visibility is the source of additional optionality, not a vulnerability.</w:t>
      </w:r>
    </w:p>
    <w:p>
      <w:pPr>
        <w:spacing w:after="60" w:before="120"/>
      </w:pPr>
      <w:r>
        <w:rPr>
          <w:b/>
          <w:bCs/>
          <w:color w:val="5A5A5A"/>
          <w:sz w:val="22"/>
          <w:szCs w:val="22"/>
        </w:rPr>
        <w:t xml:space="preserve">The co-investment "free look"</w:t>
      </w:r>
    </w:p>
    <w:p>
      <w:pPr>
        <w:spacing w:after="120" w:before="0"/>
      </w:pPr>
      <w:r>
        <w:rPr>
          <w:b w:val="false"/>
          <w:bCs w:val="false"/>
          <w:i w:val="false"/>
          <w:iCs w:val="false"/>
        </w:rPr>
        <w:t xml:space="preserve">The most powerful argument for LPs with co-investment appetite. When the public market punishes a mid-cap stock during the messy, initial phase of a corporate turnaround, it creates a severe pricing dislocation. If an LP has co-investment rights, they are essentially getting a free look at the asset after the heaviest lifting is done.</w:t>
      </w:r>
    </w:p>
    <w:p>
      <w:pPr>
        <w:pStyle w:val="ListParagraph"/>
        <w:numPr>
          <w:ilvl w:val="0"/>
          <w:numId w:val="2"/>
        </w:numPr>
        <w:spacing w:after="60"/>
      </w:pPr>
      <w:r>
        <w:rPr>
          <w:b/>
          <w:bCs/>
        </w:rPr>
        <w:t xml:space="preserve">De-risked governance at distressed prices. </w:t>
      </w:r>
      <w:r>
        <w:t xml:space="preserve">By the time the stock hits the bottom of the J-curve, the manager has typically already secured the board seats, removed the entrenched executives and initiated the operational restructuring. The fundamental, structural risk of the business is actually lower than it was on day one — yet the public market is offering the equity at a steeply discounted multiple.</w:t>
      </w:r>
    </w:p>
    <w:p>
      <w:pPr>
        <w:pStyle w:val="ListParagraph"/>
        <w:numPr>
          <w:ilvl w:val="0"/>
          <w:numId w:val="2"/>
        </w:numPr>
        <w:spacing w:after="60"/>
      </w:pPr>
      <w:r>
        <w:rPr>
          <w:b/>
          <w:bCs/>
        </w:rPr>
        <w:t xml:space="preserve">LP-friendly mechanics. </w:t>
      </w:r>
      <w:r>
        <w:t xml:space="preserve">Co-investment rights on these mid-J-curve entries are a meaningful differentiator vs traditional private-equity co-invest, where LPs underwrite a thesis at deal close and ride through years of opacity before knowing whether the turnaround is working.</w:t>
      </w:r>
    </w:p>
    <w:p>
      <w:pPr>
        <w:spacing w:after="60" w:before="120"/>
      </w:pPr>
      <w:r>
        <w:rPr>
          <w:b/>
          <w:bCs/>
          <w:color w:val="5A5A5A"/>
          <w:sz w:val="22"/>
          <w:szCs w:val="22"/>
        </w:rPr>
        <w:t xml:space="preserve">Algorithmic timing via proprietary frameworks</w:t>
      </w:r>
    </w:p>
    <w:p>
      <w:pPr>
        <w:spacing w:after="120" w:before="0"/>
      </w:pPr>
      <w:r>
        <w:rPr>
          <w:b w:val="false"/>
          <w:bCs w:val="false"/>
          <w:i w:val="false"/>
          <w:iCs w:val="false"/>
        </w:rPr>
        <w:t xml:space="preserve">The public J-curve allows for mathematically precise capital deployment. When retail and passive investors panic over a slashed dividend or a discontinued product line, the share price tanks below the value of the rectifiable core business.</w:t>
      </w:r>
    </w:p>
    <w:p>
      <w:pPr>
        <w:pStyle w:val="ListParagraph"/>
        <w:numPr>
          <w:ilvl w:val="0"/>
          <w:numId w:val="2"/>
        </w:numPr>
        <w:spacing w:after="60"/>
      </w:pPr>
      <w:r>
        <w:rPr>
          <w:b/>
          <w:bCs/>
        </w:rPr>
        <w:t xml:space="preserve">Decoupling sentiment from cash flow. </w:t>
      </w:r>
      <w:r>
        <w:t xml:space="preserve">A rigorous proprietary valuation methodology — the team's Gauntlet gates and the Medley-style hard-floor framework — strips away market sentiment and identifies the moment the equity's price has decoupled from its newly transformed cash-flow trajectory. This provides LPs with an engineered, data-backed entry point to double down, rather than catching a falling knife blindly.</w:t>
      </w:r>
    </w:p>
    <w:p>
      <w:pPr>
        <w:spacing w:after="60" w:before="120"/>
      </w:pPr>
      <w:r>
        <w:rPr>
          <w:b/>
          <w:bCs/>
          <w:color w:val="5A5A5A"/>
          <w:sz w:val="22"/>
          <w:szCs w:val="22"/>
        </w:rPr>
        <w:t xml:space="preserve">Capital efficiency and yield</w:t>
      </w:r>
    </w:p>
    <w:p>
      <w:pPr>
        <w:spacing w:after="120" w:before="0"/>
      </w:pPr>
      <w:r>
        <w:rPr>
          <w:b w:val="false"/>
          <w:bCs w:val="false"/>
          <w:i w:val="false"/>
          <w:iCs w:val="false"/>
        </w:rPr>
        <w:t xml:space="preserve">In a traditional PE fund, LPs commit capital that is locked up and often sits in low-yield vehicles waiting for a capital call, suffering the fee drag.</w:t>
      </w:r>
    </w:p>
    <w:p>
      <w:pPr>
        <w:pStyle w:val="ListParagraph"/>
        <w:numPr>
          <w:ilvl w:val="0"/>
          <w:numId w:val="2"/>
        </w:numPr>
        <w:spacing w:after="60"/>
      </w:pPr>
      <w:r>
        <w:rPr>
          <w:b/>
          <w:bCs/>
        </w:rPr>
        <w:t xml:space="preserve">Dry powder kept productive. </w:t>
      </w:r>
      <w:r>
        <w:t xml:space="preserve">With a public strategy experiencing a J-curve, LPs can hold their dry powder in high-yielding cash equivalents right up until the exact moment of maximum market pessimism. They deploy co-investment capital precisely when the turnaround begins to take hold — drastically improving IRR because capital is deployed closer to the realisation event.</w:t>
      </w:r>
    </w:p>
    <w:p>
      <w:pPr>
        <w:spacing w:after="60" w:before="120"/>
      </w:pPr>
      <w:r>
        <w:rPr>
          <w:b/>
          <w:bCs/>
          <w:color w:val="5A5A5A"/>
          <w:sz w:val="22"/>
          <w:szCs w:val="22"/>
        </w:rPr>
        <w:t xml:space="preserve">Forced managerial discipline</w:t>
      </w:r>
    </w:p>
    <w:p>
      <w:pPr>
        <w:spacing w:after="120" w:before="0"/>
      </w:pPr>
      <w:r>
        <w:rPr>
          <w:b w:val="false"/>
          <w:bCs w:val="false"/>
          <w:i w:val="false"/>
          <w:iCs w:val="false"/>
        </w:rPr>
        <w:t xml:space="preserve">A visible J-curve ensures ultimate alignment and intellectual honesty. In private markets, managers can hide mistakes for years behind opaque, third-party mark-to-model valuations. In public markets, the scoreboard is lit up every single day.</w:t>
      </w:r>
    </w:p>
    <w:p>
      <w:pPr>
        <w:pStyle w:val="ListParagraph"/>
        <w:numPr>
          <w:ilvl w:val="0"/>
          <w:numId w:val="2"/>
        </w:numPr>
        <w:spacing w:after="60"/>
      </w:pPr>
      <w:r>
        <w:rPr>
          <w:b/>
          <w:bCs/>
        </w:rPr>
        <w:t xml:space="preserve">Transparency as accountability. </w:t>
      </w:r>
      <w:r>
        <w:t xml:space="preserve">If the turnaround is failing, everyone knows it. This level of transparency forces the manager to act with absolute conviction and speed — because there is nowhere to hide poor capital allocation. The 92% deal-level hit rate across 20 years and 39 transactions is evidence that the manager has operated successfully under exactly this discipline for two decades.</w:t>
      </w:r>
    </w:p>
    <w:p>
      <w:pPr>
        <w:pStyle w:val="Heading2"/>
        <w:spacing w:after="80" w:before="200"/>
      </w:pPr>
      <w:r>
        <w:rPr>
          <w:b/>
          <w:bCs/>
          <w:color w:val="1F4E79"/>
          <w:sz w:val="24"/>
          <w:szCs w:val="24"/>
        </w:rPr>
        <w:t xml:space="preserve">8.3 Summary table — risk reframing for the 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Apparent risk</w:t>
            </w:r>
          </w:p>
        </w:tc>
        <w:tc>
          <w:tcPr>
            <w:tcW w:type="dxa" w:w="31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Conventional framing</w:t>
            </w:r>
          </w:p>
        </w:tc>
        <w:tc>
          <w:tcPr>
            <w:tcW w:type="dxa" w:w="31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Reframed strategic case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Reputational friction from public engagement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Activist campaigns risk damaging the LP's reputation by association.</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Constructivist engagement is the purest expression of ESG governance and is the mechanism that compresses the value-recognition timeline. The reputational weight of a 20-year track record attracts coattail capital and accelerates repricing.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The public J-curve (visible drawdown on new positions)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Mark-to-market pain on early entries embarrasses the LP and triggers reporting questions.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The public J-curve is a tradable event — by the bottom the manager has secured board control and started operational restructuring, so structural risk is materially lower than at entry. LPs with co-invest rights can underwrite "de-risked governance at distressed prices."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Concentration risk on a small number of names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8–12 active positions create vulnerability to single-name shocks.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Concentration is the mechanism that produces the 85.7% hit rate on ≥10% positions and the two decade-defining wins across 20 years. The strategy's compounding is the direct output of the discipline to size up only when conviction warrants.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Mark-to-market volatility of monthly returns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10%+ monthly stdev exceeds the comfort zone of traditional public-equity allocators.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Upside vol is 3.9× downside vol — Sortino of 2.40 (AIPFII) or 1.54 (20-year combined) is the relevant measure. The optical volatility is the toll paid for direct operational control of the underlying businesses.</w:t>
            </w:r>
          </w:p>
        </w:tc>
      </w:tr>
    </w:tbl>
    <w:p>
      <w:pPr>
        <w:spacing w:after="100"/>
      </w:pPr>
      <w:r>
        <w:rPr>
          <w:b w:val="false"/>
          <w:bCs w:val="false"/>
          <w:i w:val="false"/>
          <w:iCs w:val="false"/>
        </w:rPr>
        <w:t xml:space="preserve"/>
      </w:r>
    </w:p>
    <w:p>
      <w:pPr>
        <w:pStyle w:val="Heading2"/>
        <w:spacing w:after="80" w:before="200"/>
      </w:pPr>
      <w:r>
        <w:rPr>
          <w:b/>
          <w:bCs/>
          <w:color w:val="1F4E79"/>
          <w:sz w:val="24"/>
          <w:szCs w:val="24"/>
        </w:rPr>
        <w:t xml:space="preserve">8.4 Conclusion — what the IC is actually underwriting</w:t>
      </w:r>
    </w:p>
    <w:p>
      <w:pPr>
        <w:spacing w:after="120" w:before="0"/>
      </w:pPr>
      <w:r>
        <w:rPr>
          <w:b w:val="false"/>
          <w:bCs w:val="false"/>
          <w:i w:val="false"/>
          <w:iCs w:val="false"/>
        </w:rPr>
        <w:t xml:space="preserve">The strategy is not a long-only passive-style mandate dressed up with concentration. It is a hybrid that imports private-equity operational-control mechanics into a public-equity wrapper while preserving the LP-level liquidity, transparency and accountability that public markets provide. The visible costs — reputational friction, J-curve pain, mark-to-market volatility — are the mechanisms through which the strategy sources alpha and protects it from arbitrage. The 20-year LP-level NET track record is the empirical evidence that the team can sustain the discomfort and turn it into returns.</w:t>
      </w:r>
    </w:p>
    <w:p>
      <w:pPr>
        <w:pBdr>
          <w:left w:val="single" w:color="1F4E79" w:sz="16" w:space="12"/>
        </w:pBdr>
        <w:spacing w:after="160" w:before="120"/>
        <w:ind w:left="720" w:right="720"/>
      </w:pPr>
      <w:r>
        <w:rPr>
          <w:i/>
          <w:iCs/>
          <w:color w:val="5A5A5A"/>
          <w:sz w:val="22"/>
          <w:szCs w:val="22"/>
        </w:rPr>
        <w:t xml:space="preserve">An IC that underwrites this strategy is not paying for safety. It is paying for proven willingness to take the public discomfort that other managers will not — and for two decades of evidence that the discomfort has been compensated at +6 percentage points per year, net of every fee.</w:t>
      </w:r>
    </w:p>
    <w:p>
      <w:r>
        <w:br w:type="page"/>
      </w:r>
    </w:p>
    <w:p>
      <w:pPr>
        <w:pStyle w:val="Heading1"/>
        <w:spacing w:after="120" w:before="240"/>
      </w:pPr>
      <w:r>
        <w:rPr>
          <w:b/>
          <w:bCs/>
          <w:color w:val="1F4E79"/>
          <w:sz w:val="30"/>
          <w:szCs w:val="30"/>
        </w:rPr>
        <w:t xml:space="preserve">9. Recommendation</w:t>
      </w:r>
    </w:p>
    <w:p>
      <w:pPr>
        <w:spacing w:after="120" w:before="0"/>
      </w:pPr>
      <w:r>
        <w:rPr>
          <w:b w:val="false"/>
          <w:bCs w:val="false"/>
          <w:i w:val="false"/>
          <w:iCs w:val="false"/>
        </w:rPr>
        <w:t xml:space="preserve">On the strength of the 20-year LP-level NET return record, the 39-deal repeatability evidence, the AIPFII position-level skill data and the strategic reframing of the visible risks set out in Section 8, AIPFII is eligible for inclusion in a high-conviction concentrated-equity sleeve. The supporting case is:</w:t>
      </w:r>
    </w:p>
    <w:p>
      <w:pPr>
        <w:pStyle w:val="ListParagraph"/>
        <w:numPr>
          <w:ilvl w:val="0"/>
          <w:numId w:val="2"/>
        </w:numPr>
        <w:spacing w:after="60"/>
      </w:pPr>
      <w:r>
        <w:rPr>
          <w:b/>
          <w:bCs/>
        </w:rPr>
        <w:t xml:space="preserve">20-year compounded NET return of +1,402% </w:t>
      </w:r>
      <w:r>
        <w:t xml:space="preserve">(annualised +14.77%) with +6.0 percentage points of annualised alpha vs the relevant equity benchmark, every fee deducted.</w:t>
      </w:r>
    </w:p>
    <w:p>
      <w:pPr>
        <w:pStyle w:val="ListParagraph"/>
        <w:numPr>
          <w:ilvl w:val="0"/>
          <w:numId w:val="2"/>
        </w:numPr>
        <w:spacing w:after="60"/>
      </w:pPr>
      <w:r>
        <w:rPr>
          <w:b/>
          <w:bCs/>
        </w:rPr>
        <w:t xml:space="preserve">Two decade-defining single-name winners </w:t>
      </w:r>
      <w:r>
        <w:t xml:space="preserve">in 20 years (Klarna 28× in 2007, Athanase Tech in 2021) — the team has done this twice, not once. The "every 10–20 years" objection is empirically unsupportable given the 39-deal cadence.</w:t>
      </w:r>
    </w:p>
    <w:p>
      <w:pPr>
        <w:pStyle w:val="ListParagraph"/>
        <w:numPr>
          <w:ilvl w:val="0"/>
          <w:numId w:val="2"/>
        </w:numPr>
        <w:spacing w:after="60"/>
      </w:pPr>
      <w:r>
        <w:rPr>
          <w:b/>
          <w:bCs/>
        </w:rPr>
        <w:t xml:space="preserve">Demonstrated conviction-sizing skill </w:t>
      </w:r>
      <w:r>
        <w:t xml:space="preserve">with 85.7% hit rate on the seven AIPFII positions ever sized at ≥10% of NAV, and +0.73 rank correlation between size and outcome within winners.</w:t>
      </w:r>
    </w:p>
    <w:p>
      <w:pPr>
        <w:pStyle w:val="ListParagraph"/>
        <w:numPr>
          <w:ilvl w:val="0"/>
          <w:numId w:val="2"/>
        </w:numPr>
        <w:spacing w:after="60"/>
      </w:pPr>
      <w:r>
        <w:rPr>
          <w:b/>
          <w:bCs/>
        </w:rPr>
        <w:t xml:space="preserve">Disciplined loss control </w:t>
      </w:r>
      <w:r>
        <w:t xml:space="preserve">with mean winner contribution 2.74× the mean loser, and total cumulative losses across 20 years approximately 8% of cumulative invested capital.</w:t>
      </w:r>
    </w:p>
    <w:p>
      <w:pPr>
        <w:pStyle w:val="ListParagraph"/>
        <w:numPr>
          <w:ilvl w:val="0"/>
          <w:numId w:val="2"/>
        </w:numPr>
        <w:spacing w:after="60"/>
      </w:pPr>
      <w:r>
        <w:rPr>
          <w:b/>
          <w:bCs/>
        </w:rPr>
        <w:t xml:space="preserve">Strong downside-risk-adjusted return </w:t>
      </w:r>
      <w:r>
        <w:t xml:space="preserve">with 20-year annualised Sortino of 1.54 and AIPFII Sortino of 2.40.</w:t>
      </w:r>
    </w:p>
    <w:p>
      <w:pPr>
        <w:pStyle w:val="ListParagraph"/>
        <w:numPr>
          <w:ilvl w:val="0"/>
          <w:numId w:val="2"/>
        </w:numPr>
        <w:spacing w:after="60"/>
      </w:pPr>
      <w:r>
        <w:rPr>
          <w:b/>
          <w:bCs/>
        </w:rPr>
        <w:t xml:space="preserve">Realised cash returns on the largest contributors </w:t>
      </w:r>
      <w:r>
        <w:t xml:space="preserve">across both funds (Klarna, Athanase Tech, Builddata, Avanza, Brokk, Concentric, Haldex multiple cycles), removing the mark-to-model objection.</w:t>
      </w:r>
    </w:p>
    <w:p>
      <w:pPr>
        <w:pStyle w:val="ListParagraph"/>
        <w:numPr>
          <w:ilvl w:val="0"/>
          <w:numId w:val="2"/>
        </w:numPr>
        <w:spacing w:after="60"/>
      </w:pPr>
      <w:r>
        <w:rPr>
          <w:b/>
          <w:bCs/>
        </w:rPr>
        <w:t xml:space="preserve">Strategic risk reframing accepted as the underwriting basis. </w:t>
      </w:r>
      <w:r>
        <w:t xml:space="preserve">The IC explicitly underwrites the reputational and J-curve frictions as features, not costs, on the basis of the 20-year evidence.</w:t>
      </w:r>
    </w:p>
    <w:p>
      <w:pPr>
        <w:spacing w:after="120" w:before="0"/>
      </w:pPr>
      <w:r>
        <w:rPr>
          <w:b w:val="false"/>
          <w:bCs w:val="false"/>
          <w:i w:val="false"/>
          <w:iCs w:val="false"/>
        </w:rPr>
        <w:t xml:space="preserve">The case is qualified by:</w:t>
      </w:r>
    </w:p>
    <w:p>
      <w:pPr>
        <w:pStyle w:val="ListParagraph"/>
        <w:numPr>
          <w:ilvl w:val="0"/>
          <w:numId w:val="2"/>
        </w:numPr>
        <w:spacing w:after="60"/>
      </w:pPr>
      <w:r>
        <w:rPr>
          <w:b/>
          <w:bCs/>
        </w:rPr>
        <w:t xml:space="preserve">High concentration of cumulative return </w:t>
      </w:r>
      <w:r>
        <w:t xml:space="preserve">in a small number of names; the cadence of producing such names is steady (one ≥ 5× MOIC win every 2 years) but the magnitude of each varies considerably.</w:t>
      </w:r>
    </w:p>
    <w:p>
      <w:pPr>
        <w:pStyle w:val="ListParagraph"/>
        <w:numPr>
          <w:ilvl w:val="0"/>
          <w:numId w:val="2"/>
        </w:numPr>
        <w:spacing w:after="60"/>
      </w:pPr>
      <w:r>
        <w:rPr>
          <w:b/>
          <w:bCs/>
        </w:rPr>
        <w:t xml:space="preserve">Historical drawdowns of ~50% </w:t>
      </w:r>
      <w:r>
        <w:t xml:space="preserve">in both 2008 and 2018–2020 — the baseline mark-to-market tolerance required from committed capital.</w:t>
      </w:r>
    </w:p>
    <w:p>
      <w:pPr>
        <w:pStyle w:val="ListParagraph"/>
        <w:numPr>
          <w:ilvl w:val="0"/>
          <w:numId w:val="2"/>
        </w:numPr>
        <w:spacing w:after="60"/>
      </w:pPr>
      <w:r>
        <w:rPr>
          <w:b/>
          <w:bCs/>
        </w:rPr>
        <w:t xml:space="preserve">Two-funds-pari-passu structure </w:t>
      </w:r>
      <w:r>
        <w:t xml:space="preserve">across the 20-year history — institutional LPs should review the structural separation between the original Öresund/Creades vehicle and AIPFII and the implications for the historical attribution.</w:t>
      </w:r>
    </w:p>
    <w:p>
      <w:pPr>
        <w:pStyle w:val="Heading2"/>
        <w:spacing w:after="80" w:before="200"/>
      </w:pPr>
      <w:r>
        <w:rPr>
          <w:b/>
          <w:bCs/>
          <w:color w:val="1F4E79"/>
          <w:sz w:val="24"/>
          <w:szCs w:val="24"/>
        </w:rPr>
        <w:t xml:space="preserve">9.1 Suggested sizing</w:t>
      </w:r>
    </w:p>
    <w:p>
      <w:pPr>
        <w:spacing w:after="120" w:before="0"/>
      </w:pPr>
      <w:r>
        <w:rPr>
          <w:b w:val="false"/>
          <w:bCs w:val="false"/>
          <w:i w:val="false"/>
          <w:iCs w:val="false"/>
        </w:rPr>
        <w:t xml:space="preserve">For a typical institutional portfolio with public-equity exposure and a private-equity / opportunistic sleeve, an allocation in the range of 1–3% of total assets within a high-conviction or special-situations bucket is appropriate. The allocation should not be sized to require monthly mark-to-market tolerance from broader committees; structural and reporting expectations should align with the Fund's quarterly or longer holding cycle. Reallocation triggers — manager turnover, drift outside the team's stated thesis types, or evidence of weaker sizing discipline on new ideas — should be defined in advance.</w:t>
      </w:r>
    </w:p>
    <w:p>
      <w:pPr>
        <w:pStyle w:val="Heading2"/>
        <w:spacing w:after="80" w:before="200"/>
      </w:pPr>
      <w:r>
        <w:rPr>
          <w:b/>
          <w:bCs/>
          <w:color w:val="1F4E79"/>
          <w:sz w:val="24"/>
          <w:szCs w:val="24"/>
        </w:rPr>
        <w:t xml:space="preserve">9.2 Co-investment overlay</w:t>
      </w:r>
    </w:p>
    <w:p>
      <w:pPr>
        <w:spacing w:after="120" w:before="0"/>
      </w:pPr>
      <w:r>
        <w:rPr>
          <w:b w:val="false"/>
          <w:bCs w:val="false"/>
          <w:i w:val="false"/>
          <w:iCs w:val="false"/>
        </w:rPr>
        <w:t xml:space="preserve">LPs with co-investment appetite should specifically request rights on direct deals during the public J-curve phase, where the team has typically secured board control before the share price reaches its trough. This overlay structure converts the visible J-curve from a perceived risk into a deployment-timing advantage and materially improves blended IRR (Section 8.2). Such co-investment language should be negotiated into side letters at the commitment stage.</w:t>
      </w:r>
    </w:p>
    <w:p>
      <w:r>
        <w:br w:type="page"/>
      </w:r>
    </w:p>
    <w:p>
      <w:pPr>
        <w:pStyle w:val="Heading1"/>
        <w:spacing w:after="120" w:before="240"/>
      </w:pPr>
      <w:r>
        <w:rPr>
          <w:b/>
          <w:bCs/>
          <w:color w:val="1F4E79"/>
          <w:sz w:val="30"/>
          <w:szCs w:val="30"/>
        </w:rPr>
        <w:t xml:space="preserve">Appendix A — 14 Deals with MOIC ≥ 3× (20-year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1300"/>
        <w:gridCol w:w="1100"/>
        <w:gridCol w:w="1400"/>
        <w:gridCol w:w="1900"/>
      </w:tblGrid>
      <w:t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w:t>
            </w:r>
          </w:p>
        </w:tc>
        <w:tc>
          <w:tcPr>
            <w:tcW w:type="dxa" w:w="3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Deal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Period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MOIC</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Returned (M SEK)</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center"/>
            </w:pPr>
            <w:r>
              <w:rPr>
                <w:b/>
                <w:bCs/>
                <w:sz w:val="20"/>
                <w:szCs w:val="20"/>
              </w:rPr>
              <w:t xml:space="preserve">Fund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Klarna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2007-2014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28.2×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836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Avanza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2006-2014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2,614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NGEx Minerals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2016-2025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AIPFII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Acne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2007-2014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Haldex (2009-14)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2009-2014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467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Athanase Tech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2020-2025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AIPFII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SkiStar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2007-2011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Brokk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2003-2006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9</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Roko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2019-2025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AIPFII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Note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2010-2014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11</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eWork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2007-2014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12</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Concentric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2011-2014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364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Catena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2006-2007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270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Johnson Pump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Öresund / Creades</w:t>
            </w:r>
          </w:p>
        </w:tc>
      </w:tr>
    </w:tbl>
    <w:p>
      <w:pPr>
        <w:spacing w:after="100"/>
      </w:pPr>
      <w:r>
        <w:rPr>
          <w:b w:val="false"/>
          <w:bCs w:val="false"/>
          <w:i w:val="false"/>
          <w:iCs w:val="false"/>
        </w:rPr>
        <w:t xml:space="preserve"/>
      </w:r>
    </w:p>
    <w:p>
      <w:pPr>
        <w:pStyle w:val="Heading1"/>
        <w:spacing w:after="120" w:before="240"/>
      </w:pPr>
      <w:r>
        <w:rPr>
          <w:b/>
          <w:bCs/>
          <w:color w:val="1F4E79"/>
          <w:sz w:val="30"/>
          <w:szCs w:val="30"/>
        </w:rPr>
        <w:t xml:space="preserve">Appendix B — Three Losses (out of 39 deals over 20 years)</w:t>
      </w:r>
    </w:p>
    <w:p>
      <w:pPr>
        <w:spacing w:after="120" w:before="0"/>
      </w:pPr>
      <w:r>
        <w:rPr>
          <w:b w:val="false"/>
          <w:bCs w:val="false"/>
          <w:i w:val="false"/>
          <w:iCs w:val="false"/>
        </w:rPr>
        <w:t xml:space="preserve">Usports (2011-2013, prior fund): invested 96M SEK, returned 30M, MOIC 0.31×, loss approx 66M.</w:t>
      </w:r>
    </w:p>
    <w:p>
      <w:pPr>
        <w:spacing w:after="120" w:before="0"/>
      </w:pPr>
      <w:r>
        <w:rPr>
          <w:b w:val="false"/>
          <w:bCs w:val="false"/>
          <w:i w:val="false"/>
          <w:iCs w:val="false"/>
        </w:rPr>
        <w:t xml:space="preserve">Actic (2017-2023, AIPFII): invested 81M SEK, returned 34M, MOIC 0.43×, loss approx 46M.</w:t>
      </w:r>
    </w:p>
    <w:p>
      <w:pPr>
        <w:spacing w:after="120" w:before="0"/>
      </w:pPr>
      <w:r>
        <w:rPr>
          <w:b w:val="false"/>
          <w:bCs w:val="false"/>
          <w:i w:val="false"/>
          <w:iCs w:val="false"/>
        </w:rPr>
        <w:t xml:space="preserve">HQ (2007-2010, prior fund): invested 684M SEK, returned 393M, MOIC 0.57×, loss approx 291M.</w:t>
      </w:r>
    </w:p>
    <w:p>
      <w:pPr>
        <w:spacing w:after="120" w:before="0"/>
      </w:pPr>
      <w:r>
        <w:rPr>
          <w:b w:val="false"/>
          <w:bCs w:val="false"/>
          <w:i w:val="false"/>
          <w:iCs w:val="false"/>
        </w:rPr>
        <w:t xml:space="preserve">Total losses across 20 years: approximately 403M SEK against 12,974M returned on 4,935M invested. Loss as a fraction of cumulative invested capital: approximately 8%.</w:t>
      </w:r>
    </w:p>
    <w:p>
      <w:pPr>
        <w:spacing w:after="100"/>
      </w:pPr>
      <w:r>
        <w:rPr>
          <w:b w:val="false"/>
          <w:bCs w:val="false"/>
          <w:i w:val="false"/>
          <w:iCs w:val="false"/>
        </w:rPr>
        <w:t xml:space="preserve"/>
      </w:r>
    </w:p>
    <w:p>
      <w:pPr>
        <w:pStyle w:val="Heading1"/>
        <w:spacing w:after="120" w:before="240"/>
      </w:pPr>
      <w:r>
        <w:rPr>
          <w:b/>
          <w:bCs/>
          <w:color w:val="1F4E79"/>
          <w:sz w:val="30"/>
          <w:szCs w:val="30"/>
        </w:rPr>
        <w:t xml:space="preserve">Appendix C — Supporting Workbooks</w:t>
      </w:r>
    </w:p>
    <w:p>
      <w:pPr>
        <w:pStyle w:val="ListParagraph"/>
        <w:numPr>
          <w:ilvl w:val="0"/>
          <w:numId w:val="2"/>
        </w:numPr>
        <w:spacing w:after="60"/>
      </w:pPr>
      <w:r>
        <w:rPr>
          <w:b/>
          <w:bCs/>
        </w:rPr>
        <w:t xml:space="preserve">AIPFII 20-year NET return record.xlsx — </w:t>
      </w:r>
      <w:r>
        <w:t xml:space="preserve">consolidated monthly NET return series, year-by-year table, benchmark comparison, compounded NAV index.</w:t>
      </w:r>
    </w:p>
    <w:p>
      <w:pPr>
        <w:pStyle w:val="ListParagraph"/>
        <w:numPr>
          <w:ilvl w:val="0"/>
          <w:numId w:val="2"/>
        </w:numPr>
        <w:spacing w:after="60"/>
      </w:pPr>
      <w:r>
        <w:rPr>
          <w:b/>
          <w:bCs/>
        </w:rPr>
        <w:t xml:space="preserve">AIPFII 20-year track record consolidated.xlsx — </w:t>
      </w:r>
      <w:r>
        <w:t xml:space="preserve">39 large transactions with MOIC, IRR, deal-type, industry, hit rate by category.</w:t>
      </w:r>
    </w:p>
    <w:p>
      <w:pPr>
        <w:pStyle w:val="ListParagraph"/>
        <w:numPr>
          <w:ilvl w:val="0"/>
          <w:numId w:val="2"/>
        </w:numPr>
        <w:spacing w:after="60"/>
      </w:pPr>
      <w:r>
        <w:rPr>
          <w:b/>
          <w:bCs/>
        </w:rPr>
        <w:t xml:space="preserve">AIPFII repeatability evidence.xlsx — </w:t>
      </w:r>
      <w:r>
        <w:t xml:space="preserve">frequency of decisive winners at multiple thresholds across the full 20-year history.</w:t>
      </w:r>
    </w:p>
    <w:p>
      <w:pPr>
        <w:pStyle w:val="ListParagraph"/>
        <w:numPr>
          <w:ilvl w:val="0"/>
          <w:numId w:val="2"/>
        </w:numPr>
        <w:spacing w:after="60"/>
      </w:pPr>
      <w:r>
        <w:rPr>
          <w:b/>
          <w:bCs/>
        </w:rPr>
        <w:t xml:space="preserve">AIPFII manager skill evaluation.xlsx — </w:t>
      </w:r>
      <w:r>
        <w:t xml:space="preserve">AIPFII position-level skill metrics, hit rate by sizing bucket, robustness, all-securities table.</w:t>
      </w:r>
    </w:p>
    <w:p>
      <w:pPr>
        <w:pStyle w:val="ListParagraph"/>
        <w:numPr>
          <w:ilvl w:val="0"/>
          <w:numId w:val="2"/>
        </w:numPr>
        <w:spacing w:after="60"/>
      </w:pPr>
      <w:r>
        <w:rPr>
          <w:b/>
          <w:bCs/>
        </w:rPr>
        <w:t xml:space="preserve">AIPFII risk-adjusted (Sortino).xlsx — </w:t>
      </w:r>
      <w:r>
        <w:t xml:space="preserve">Sortino, Sharpe and downside-deviation analysis on AIPFII series.</w:t>
      </w:r>
    </w:p>
    <w:p>
      <w:pPr>
        <w:pStyle w:val="ListParagraph"/>
        <w:numPr>
          <w:ilvl w:val="0"/>
          <w:numId w:val="2"/>
        </w:numPr>
        <w:spacing w:after="60"/>
      </w:pPr>
      <w:r>
        <w:rPr>
          <w:b/>
          <w:bCs/>
        </w:rPr>
        <w:t xml:space="preserve">AIPFII attribution dropping below 5pct positions.xlsx — </w:t>
      </w:r>
      <w:r>
        <w:t xml:space="preserve">structural test of the 30-40 name conviction book.</w:t>
      </w:r>
    </w:p>
    <w:p>
      <w:pPr>
        <w:spacing w:after="100"/>
      </w:pPr>
      <w:r>
        <w:rPr>
          <w:b w:val="false"/>
          <w:bCs w:val="false"/>
          <w:i w:val="false"/>
          <w:iCs w:val="false"/>
        </w:rPr>
        <w:t xml:space="preserve"/>
      </w:r>
    </w:p>
    <w:p>
      <w:pPr>
        <w:pStyle w:val="Heading1"/>
        <w:spacing w:after="120" w:before="240"/>
      </w:pPr>
      <w:r>
        <w:rPr>
          <w:b/>
          <w:bCs/>
          <w:color w:val="1F4E79"/>
          <w:sz w:val="30"/>
          <w:szCs w:val="30"/>
        </w:rPr>
        <w:t xml:space="preserve">Appendix D — Methodology Notes</w:t>
      </w:r>
    </w:p>
    <w:p>
      <w:pPr>
        <w:pStyle w:val="ListParagraph"/>
        <w:numPr>
          <w:ilvl w:val="0"/>
          <w:numId w:val="2"/>
        </w:numPr>
        <w:spacing w:after="60"/>
      </w:pPr>
      <w:r>
        <w:rPr>
          <w:b/>
          <w:bCs/>
        </w:rPr>
        <w:t xml:space="preserve">Hit ratio (deal level): </w:t>
      </w:r>
      <w:r>
        <w:t xml:space="preserve">fraction of large transactions where MOIC &gt; 1× at exit. 36/39 = 92% across the 20-year history.</w:t>
      </w:r>
    </w:p>
    <w:p>
      <w:pPr>
        <w:pStyle w:val="ListParagraph"/>
        <w:numPr>
          <w:ilvl w:val="0"/>
          <w:numId w:val="2"/>
        </w:numPr>
        <w:spacing w:after="60"/>
      </w:pPr>
      <w:r>
        <w:rPr>
          <w:b/>
          <w:bCs/>
        </w:rPr>
        <w:t xml:space="preserve">Hit ratio (position level): </w:t>
      </w:r>
      <w:r>
        <w:t xml:space="preserve">fraction of AIPFII investment securities whose cumulative contribution since first held is strictly positive. 115/189 = 60.8%.</w:t>
      </w:r>
    </w:p>
    <w:p>
      <w:pPr>
        <w:pStyle w:val="ListParagraph"/>
        <w:numPr>
          <w:ilvl w:val="0"/>
          <w:numId w:val="2"/>
        </w:numPr>
        <w:spacing w:after="60"/>
      </w:pPr>
      <w:r>
        <w:rPr>
          <w:b/>
          <w:bCs/>
        </w:rPr>
        <w:t xml:space="preserve">MOIC: </w:t>
      </w:r>
      <w:r>
        <w:t xml:space="preserve">total capital returned divided by total capital invested at the deal level.</w:t>
      </w:r>
    </w:p>
    <w:p>
      <w:pPr>
        <w:pStyle w:val="ListParagraph"/>
        <w:numPr>
          <w:ilvl w:val="0"/>
          <w:numId w:val="2"/>
        </w:numPr>
        <w:spacing w:after="60"/>
      </w:pPr>
      <w:r>
        <w:rPr>
          <w:b/>
          <w:bCs/>
        </w:rPr>
        <w:t xml:space="preserve">Sortino ratio: </w:t>
      </w:r>
      <w:r>
        <w:t xml:space="preserve">(mean monthly return − MAR) / downside deviation, where downside deviation = √(average of squared min(r − MAR, 0)). Annualised by multiplying by √12.</w:t>
      </w:r>
    </w:p>
    <w:p>
      <w:pPr>
        <w:pStyle w:val="ListParagraph"/>
        <w:numPr>
          <w:ilvl w:val="0"/>
          <w:numId w:val="2"/>
        </w:numPr>
        <w:spacing w:after="60"/>
      </w:pPr>
      <w:r>
        <w:rPr>
          <w:b/>
          <w:bCs/>
        </w:rPr>
        <w:t xml:space="preserve">Maximum drawdown: </w:t>
      </w:r>
      <w:r>
        <w:t xml:space="preserve">largest peak-to-trough decline in the compounded monthly return NAV index.</w:t>
      </w:r>
    </w:p>
    <w:p>
      <w:pPr>
        <w:pStyle w:val="ListParagraph"/>
        <w:numPr>
          <w:ilvl w:val="0"/>
          <w:numId w:val="2"/>
        </w:numPr>
        <w:spacing w:after="60"/>
      </w:pPr>
      <w:r>
        <w:rPr>
          <w:b/>
          <w:bCs/>
        </w:rPr>
        <w:t xml:space="preserve">20-year compounded NET return: </w:t>
      </w:r>
      <w:r>
        <w:t xml:space="preserve">direct multiplicative compounding of monthly NET return observations across both funds; Öresund / Creades 2006-Jun 2014 (102 months) and AIPFII Feb 2015 - Apr 2026 (134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360"/>
      </w:tabs>
    </w:pPr>
    <w:r>
      <w:rPr>
        <w:color w:val="5A5A5A"/>
        <w:sz w:val="18"/>
        <w:szCs w:val="18"/>
      </w:rPr>
      <w:t xml:space="preserve">AIPFII — Investment Memorandum v3</w:t>
    </w:r>
    <w:r>
      <w:rPr>
        <w:i/>
        <w:iCs/>
        <w:color w:val="5A5A5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310709CD82A6741BE5E8B9BFA41D3C0" ma:contentTypeVersion="13" ma:contentTypeDescription="Skapa ett nytt dokument." ma:contentTypeScope="" ma:versionID="ea70554b132df1325a42697029f21ce4">
  <xsd:schema xmlns:xsd="http://www.w3.org/2001/XMLSchema" xmlns:xs="http://www.w3.org/2001/XMLSchema" xmlns:p="http://schemas.microsoft.com/office/2006/metadata/properties" xmlns:ns2="5e27318a-0826-4810-8988-cc3e5c2e3a20" xmlns:ns3="4124b31e-6573-4802-b7ef-311f4d26277d" targetNamespace="http://schemas.microsoft.com/office/2006/metadata/properties" ma:root="true" ma:fieldsID="cc21193230fc81558174baefa7095284" ns2:_="" ns3:_="">
    <xsd:import namespace="5e27318a-0826-4810-8988-cc3e5c2e3a20"/>
    <xsd:import namespace="4124b31e-6573-4802-b7ef-311f4d2627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7318a-0826-4810-8988-cc3e5c2e3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eringar" ma:readOnly="false" ma:fieldId="{5cf76f15-5ced-4ddc-b409-7134ff3c332f}" ma:taxonomyMulti="true" ma:sspId="7f99c0e0-a277-4309-9e70-fff5b915cc5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24b31e-6573-4802-b7ef-311f4d2627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70a8ef-2ce6-4f9b-a60c-abb7e201e7ac}" ma:internalName="TaxCatchAll" ma:showField="CatchAllData" ma:web="4124b31e-6573-4802-b7ef-311f4d2627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24b31e-6573-4802-b7ef-311f4d26277d" xsi:nil="true"/>
    <lcf76f155ced4ddcb4097134ff3c332f xmlns="5e27318a-0826-4810-8988-cc3e5c2e3a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2C5842-6477-4291-A6E2-F14FFB0A5F82}"/>
</file>

<file path=customXml/itemProps2.xml><?xml version="1.0" encoding="utf-8"?>
<ds:datastoreItem xmlns:ds="http://schemas.openxmlformats.org/officeDocument/2006/customXml" ds:itemID="{128BBC5B-B49D-4DD7-86F7-E5DFE2544DEA}"/>
</file>

<file path=customXml/itemProps3.xml><?xml version="1.0" encoding="utf-8"?>
<ds:datastoreItem xmlns:ds="http://schemas.openxmlformats.org/officeDocument/2006/customXml" ds:itemID="{ED20A9E9-0E5A-4FD4-941B-7696D9B3218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AIPFII Investment Memorandum v3</dc:title>
  <dc:creator>Claude (investment-evaluation assistant)</dc:creator>
  <cp:lastModifiedBy>Un-named</cp:lastModifiedBy>
  <cp:revision>1</cp:revision>
  <dcterms:created xsi:type="dcterms:W3CDTF">2026-05-26T17:58:17Z</dcterms:created>
  <dcterms:modified xsi:type="dcterms:W3CDTF">2026-05-26T17:58:17Z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0x0101006310709CD82A6741BE5E8B9BFA41D3C0</vt:lpwstr>
  </property>
</Properties>
</file>