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 w:eastAsia="Times New Roman"/>
          <w:b/>
          <w:i w:val="0"/>
          <w:color w:val="556A83"/>
          <w:sz w:val="22"/>
        </w:rPr>
        <w:t>Athanase Industrial Partner</w:t>
      </w:r>
    </w:p>
    <w:p>
      <w:pPr>
        <w:spacing w:after="40"/>
      </w:pPr>
      <w:r>
        <w:rPr>
          <w:rFonts w:ascii="Times New Roman" w:hAnsi="Times New Roman" w:eastAsia="Times New Roman"/>
          <w:b/>
          <w:i w:val="0"/>
          <w:color w:val="152130"/>
          <w:sz w:val="34"/>
        </w:rPr>
        <w:t>Private Equity Comparison — References &amp; Methodology</w:t>
      </w:r>
    </w:p>
    <w:p>
      <w:pPr>
        <w:spacing w:after="160"/>
      </w:pPr>
      <w:r>
        <w:rPr>
          <w:rFonts w:ascii="Times New Roman" w:hAnsi="Times New Roman" w:eastAsia="Times New Roman"/>
          <w:b w:val="0"/>
          <w:i/>
          <w:color w:val="556A83"/>
          <w:sz w:val="20"/>
        </w:rPr>
        <w:t>Full source list for the risk, return and correlation figures used in the Athanase-vs-private-equity analysis. Peer-reviewed literature is cited with DOIs; practitioner and dataset sources are identified by institution and year.</w:t>
      </w:r>
    </w:p>
    <w:p>
      <w:pPr>
        <w:spacing w:after="40"/>
        <w:pBdr>
          <w:bottom w:val="single" w:sz="6" w:space="1" w:color="314359"/>
        </w:pBdr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i w:val="0"/>
          <w:color w:val="314359"/>
          <w:sz w:val="26"/>
        </w:rPr>
        <w:t>1.  Peer-reviewed and academic literature</w:t>
      </w:r>
    </w:p>
    <w:p>
      <w:pPr>
        <w:spacing w:after="120" w:line="252" w:lineRule="auto"/>
        <w:ind w:left="432" w:hanging="432"/>
      </w:pPr>
      <w:r>
        <w:rPr>
          <w:rFonts w:ascii="Times New Roman" w:hAnsi="Times New Roman" w:eastAsia="Times New Roman"/>
          <w:b w:val="0"/>
          <w:i w:val="0"/>
          <w:color w:val="0E1620"/>
          <w:sz w:val="20"/>
        </w:rPr>
        <w:t xml:space="preserve">Ang, A., Chen, B., Goetzmann, W. N., &amp; Phalippou, L. (2018). Estimating private equity returns from limited partner cash flows. </w:t>
      </w:r>
      <w:r>
        <w:rPr>
          <w:rFonts w:ascii="Times New Roman" w:hAnsi="Times New Roman" w:eastAsia="Times New Roman"/>
          <w:b w:val="0"/>
          <w:i/>
          <w:color w:val="0E1620"/>
          <w:sz w:val="20"/>
        </w:rPr>
        <w:t>The Journal of Finance, 73</w:t>
      </w:r>
      <w:r>
        <w:rPr>
          <w:rFonts w:ascii="Times New Roman" w:hAnsi="Times New Roman" w:eastAsia="Times New Roman"/>
          <w:b w:val="0"/>
          <w:i w:val="0"/>
          <w:color w:val="0E1620"/>
          <w:sz w:val="20"/>
        </w:rPr>
        <w:t>(4), 1751–1783. https://doi.org/10.1111/jofi.12688</w:t>
      </w:r>
    </w:p>
    <w:p>
      <w:pPr>
        <w:spacing w:after="120" w:line="252" w:lineRule="auto"/>
        <w:ind w:left="432" w:hanging="432"/>
      </w:pPr>
      <w:r>
        <w:rPr>
          <w:rFonts w:ascii="Times New Roman" w:hAnsi="Times New Roman" w:eastAsia="Times New Roman"/>
          <w:b w:val="0"/>
          <w:i w:val="0"/>
          <w:color w:val="0E1620"/>
          <w:sz w:val="20"/>
        </w:rPr>
        <w:t xml:space="preserve">Boyer, B. H., Nadauld, T. D., Vorkink, K. P., &amp; Weisbach, M. S. (2018). Private equity indices based on secondary market transactions. </w:t>
      </w:r>
      <w:r>
        <w:rPr>
          <w:rFonts w:ascii="Times New Roman" w:hAnsi="Times New Roman" w:eastAsia="Times New Roman"/>
          <w:b w:val="0"/>
          <w:i/>
          <w:color w:val="0E1620"/>
          <w:sz w:val="20"/>
        </w:rPr>
        <w:t>SSRN Electronic Journal</w:t>
      </w:r>
      <w:r>
        <w:rPr>
          <w:rFonts w:ascii="Times New Roman" w:hAnsi="Times New Roman" w:eastAsia="Times New Roman"/>
          <w:b w:val="0"/>
          <w:i w:val="0"/>
          <w:color w:val="0E1620"/>
          <w:sz w:val="20"/>
        </w:rPr>
        <w:t xml:space="preserve"> (also NBER Working Paper No. 25207). https://doi.org/10.2139/ssrn.3272357</w:t>
      </w:r>
    </w:p>
    <w:p>
      <w:pPr>
        <w:spacing w:after="120" w:line="252" w:lineRule="auto"/>
        <w:ind w:left="432" w:hanging="432"/>
      </w:pPr>
      <w:r>
        <w:rPr>
          <w:rFonts w:ascii="Times New Roman" w:hAnsi="Times New Roman" w:eastAsia="Times New Roman"/>
          <w:b w:val="0"/>
          <w:i w:val="0"/>
          <w:color w:val="0E1620"/>
          <w:sz w:val="20"/>
        </w:rPr>
        <w:t xml:space="preserve">Buchner, A., Kaserer, C., &amp; Wagner, N. F. (2010). Private equity funds: Valuation, systematic risk and illiquidity. </w:t>
      </w:r>
      <w:r>
        <w:rPr>
          <w:rFonts w:ascii="Times New Roman" w:hAnsi="Times New Roman" w:eastAsia="Times New Roman"/>
          <w:b w:val="0"/>
          <w:i/>
          <w:color w:val="0E1620"/>
          <w:sz w:val="20"/>
        </w:rPr>
        <w:t>SSRN Electronic Journal</w:t>
      </w:r>
      <w:r>
        <w:rPr>
          <w:rFonts w:ascii="Times New Roman" w:hAnsi="Times New Roman" w:eastAsia="Times New Roman"/>
          <w:b w:val="0"/>
          <w:i w:val="0"/>
          <w:color w:val="0E1620"/>
          <w:sz w:val="20"/>
        </w:rPr>
        <w:t>. https://doi.org/10.2139/ssrn.1102471</w:t>
      </w:r>
    </w:p>
    <w:p>
      <w:pPr>
        <w:spacing w:after="120" w:line="252" w:lineRule="auto"/>
        <w:ind w:left="432" w:hanging="432"/>
      </w:pPr>
      <w:r>
        <w:rPr>
          <w:rFonts w:ascii="Times New Roman" w:hAnsi="Times New Roman" w:eastAsia="Times New Roman"/>
          <w:b w:val="0"/>
          <w:i w:val="0"/>
          <w:color w:val="0E1620"/>
          <w:sz w:val="20"/>
        </w:rPr>
        <w:t xml:space="preserve">Couts, S., Gonçalves, A. S., &amp; Rossi, A. (2020). Unsmoothing returns of illiquid funds. </w:t>
      </w:r>
      <w:r>
        <w:rPr>
          <w:rFonts w:ascii="Times New Roman" w:hAnsi="Times New Roman" w:eastAsia="Times New Roman"/>
          <w:b w:val="0"/>
          <w:i/>
          <w:color w:val="0E1620"/>
          <w:sz w:val="20"/>
        </w:rPr>
        <w:t>SSRN Electronic Journal</w:t>
      </w:r>
      <w:r>
        <w:rPr>
          <w:rFonts w:ascii="Times New Roman" w:hAnsi="Times New Roman" w:eastAsia="Times New Roman"/>
          <w:b w:val="0"/>
          <w:i w:val="0"/>
          <w:color w:val="0E1620"/>
          <w:sz w:val="20"/>
        </w:rPr>
        <w:t>. https://doi.org/10.2139/ssrn.3544854</w:t>
      </w:r>
    </w:p>
    <w:p>
      <w:pPr>
        <w:spacing w:after="120" w:line="252" w:lineRule="auto"/>
        <w:ind w:left="432" w:hanging="432"/>
      </w:pPr>
      <w:r>
        <w:rPr>
          <w:rFonts w:ascii="Times New Roman" w:hAnsi="Times New Roman" w:eastAsia="Times New Roman"/>
          <w:b w:val="0"/>
          <w:i w:val="0"/>
          <w:color w:val="0E1620"/>
          <w:sz w:val="20"/>
        </w:rPr>
        <w:t xml:space="preserve">Getmansky, M., Lo, A. W., &amp; Makarov, I. (2004). An econometric model of serial correlation and illiquidity in hedge fund returns. </w:t>
      </w:r>
      <w:r>
        <w:rPr>
          <w:rFonts w:ascii="Times New Roman" w:hAnsi="Times New Roman" w:eastAsia="Times New Roman"/>
          <w:b w:val="0"/>
          <w:i/>
          <w:color w:val="0E1620"/>
          <w:sz w:val="20"/>
        </w:rPr>
        <w:t>Journal of Financial Economics, 74</w:t>
      </w:r>
      <w:r>
        <w:rPr>
          <w:rFonts w:ascii="Times New Roman" w:hAnsi="Times New Roman" w:eastAsia="Times New Roman"/>
          <w:b w:val="0"/>
          <w:i w:val="0"/>
          <w:color w:val="0E1620"/>
          <w:sz w:val="20"/>
        </w:rPr>
        <w:t>(3), 529–609. https://doi.org/10.1016/j.jfineco.2004.04.001</w:t>
      </w:r>
    </w:p>
    <w:p>
      <w:pPr>
        <w:spacing w:after="120" w:line="252" w:lineRule="auto"/>
        <w:ind w:left="432" w:hanging="432"/>
      </w:pPr>
      <w:r>
        <w:rPr>
          <w:rFonts w:ascii="Times New Roman" w:hAnsi="Times New Roman" w:eastAsia="Times New Roman"/>
          <w:b w:val="0"/>
          <w:i w:val="0"/>
          <w:color w:val="0E1620"/>
          <w:sz w:val="20"/>
        </w:rPr>
        <w:t xml:space="preserve">Harris, R. S., Jenkinson, T., &amp; Kaplan, S. N. (2014). Private equity performance: What do we know? </w:t>
      </w:r>
      <w:r>
        <w:rPr>
          <w:rFonts w:ascii="Times New Roman" w:hAnsi="Times New Roman" w:eastAsia="Times New Roman"/>
          <w:b w:val="0"/>
          <w:i/>
          <w:color w:val="0E1620"/>
          <w:sz w:val="20"/>
        </w:rPr>
        <w:t>The Journal of Finance, 69</w:t>
      </w:r>
      <w:r>
        <w:rPr>
          <w:rFonts w:ascii="Times New Roman" w:hAnsi="Times New Roman" w:eastAsia="Times New Roman"/>
          <w:b w:val="0"/>
          <w:i w:val="0"/>
          <w:color w:val="0E1620"/>
          <w:sz w:val="20"/>
        </w:rPr>
        <w:t>(5), 1851–1882. https://doi.org/10.1111/jofi.12154</w:t>
      </w:r>
    </w:p>
    <w:p>
      <w:pPr>
        <w:spacing w:after="120" w:line="252" w:lineRule="auto"/>
        <w:ind w:left="432" w:hanging="432"/>
      </w:pPr>
      <w:r>
        <w:rPr>
          <w:rFonts w:ascii="Times New Roman" w:hAnsi="Times New Roman" w:eastAsia="Times New Roman"/>
          <w:b w:val="0"/>
          <w:i w:val="0"/>
          <w:color w:val="0E1620"/>
          <w:sz w:val="20"/>
        </w:rPr>
        <w:t xml:space="preserve">Hayley, S., &amp; Sefiloglu, O. (2022). Biases in private equity returns. </w:t>
      </w:r>
      <w:r>
        <w:rPr>
          <w:rFonts w:ascii="Times New Roman" w:hAnsi="Times New Roman" w:eastAsia="Times New Roman"/>
          <w:b w:val="0"/>
          <w:i/>
          <w:color w:val="0E1620"/>
          <w:sz w:val="20"/>
        </w:rPr>
        <w:t>SSRN Electronic Journal</w:t>
      </w:r>
      <w:r>
        <w:rPr>
          <w:rFonts w:ascii="Times New Roman" w:hAnsi="Times New Roman" w:eastAsia="Times New Roman"/>
          <w:b w:val="0"/>
          <w:i w:val="0"/>
          <w:color w:val="0E1620"/>
          <w:sz w:val="20"/>
        </w:rPr>
        <w:t>. https://doi.org/10.2139/ssrn.4245715</w:t>
      </w:r>
    </w:p>
    <w:p>
      <w:pPr>
        <w:spacing w:after="120" w:line="252" w:lineRule="auto"/>
        <w:ind w:left="432" w:hanging="432"/>
      </w:pPr>
      <w:r>
        <w:rPr>
          <w:rFonts w:ascii="Times New Roman" w:hAnsi="Times New Roman" w:eastAsia="Times New Roman"/>
          <w:b w:val="0"/>
          <w:i w:val="0"/>
          <w:color w:val="0E1620"/>
          <w:sz w:val="20"/>
        </w:rPr>
        <w:t xml:space="preserve">Jackson, B., Ling, D. C., &amp; Naranjo, A. (2022). Catering and return manipulation in private equity. </w:t>
      </w:r>
      <w:r>
        <w:rPr>
          <w:rFonts w:ascii="Times New Roman" w:hAnsi="Times New Roman" w:eastAsia="Times New Roman"/>
          <w:b w:val="0"/>
          <w:i/>
          <w:color w:val="0E1620"/>
          <w:sz w:val="20"/>
        </w:rPr>
        <w:t>SSRN Electronic Journal</w:t>
      </w:r>
      <w:r>
        <w:rPr>
          <w:rFonts w:ascii="Times New Roman" w:hAnsi="Times New Roman" w:eastAsia="Times New Roman"/>
          <w:b w:val="0"/>
          <w:i w:val="0"/>
          <w:color w:val="0E1620"/>
          <w:sz w:val="20"/>
        </w:rPr>
        <w:t>. https://doi.org/10.2139/ssrn.4244467</w:t>
      </w:r>
    </w:p>
    <w:p>
      <w:pPr>
        <w:spacing w:after="120" w:line="252" w:lineRule="auto"/>
        <w:ind w:left="432" w:hanging="432"/>
      </w:pPr>
      <w:r>
        <w:rPr>
          <w:rFonts w:ascii="Times New Roman" w:hAnsi="Times New Roman" w:eastAsia="Times New Roman"/>
          <w:b w:val="0"/>
          <w:i w:val="0"/>
          <w:color w:val="0E1620"/>
          <w:sz w:val="20"/>
        </w:rPr>
        <w:t xml:space="preserve">Kieffer, E., Meyer, T., Gloukoviezoff, G., Lucius, H., &amp; Bouvry, P. (2023). Learning private equity recommitment strategies for institutional investors. </w:t>
      </w:r>
      <w:r>
        <w:rPr>
          <w:rFonts w:ascii="Times New Roman" w:hAnsi="Times New Roman" w:eastAsia="Times New Roman"/>
          <w:b w:val="0"/>
          <w:i/>
          <w:color w:val="0E1620"/>
          <w:sz w:val="20"/>
        </w:rPr>
        <w:t>Frontiers in Artificial Intelligence, 6</w:t>
      </w:r>
      <w:r>
        <w:rPr>
          <w:rFonts w:ascii="Times New Roman" w:hAnsi="Times New Roman" w:eastAsia="Times New Roman"/>
          <w:b w:val="0"/>
          <w:i w:val="0"/>
          <w:color w:val="0E1620"/>
          <w:sz w:val="20"/>
        </w:rPr>
        <w:t>, 1014317. https://doi.org/10.3389/frai.2023.1014317</w:t>
      </w:r>
    </w:p>
    <w:p>
      <w:pPr>
        <w:spacing w:after="120" w:line="252" w:lineRule="auto"/>
        <w:ind w:left="432" w:hanging="432"/>
      </w:pPr>
      <w:r>
        <w:rPr>
          <w:rFonts w:ascii="Times New Roman" w:hAnsi="Times New Roman" w:eastAsia="Times New Roman"/>
          <w:b w:val="0"/>
          <w:i w:val="0"/>
          <w:color w:val="0E1620"/>
          <w:sz w:val="20"/>
        </w:rPr>
        <w:t xml:space="preserve">Meyer, T. (2020). Hidden in plain sight — the impact of undrawn commitments. </w:t>
      </w:r>
      <w:r>
        <w:rPr>
          <w:rFonts w:ascii="Times New Roman" w:hAnsi="Times New Roman" w:eastAsia="Times New Roman"/>
          <w:b w:val="0"/>
          <w:i/>
          <w:color w:val="0E1620"/>
          <w:sz w:val="20"/>
        </w:rPr>
        <w:t>The Journal of Alternative Investments, 23</w:t>
      </w:r>
      <w:r>
        <w:rPr>
          <w:rFonts w:ascii="Times New Roman" w:hAnsi="Times New Roman" w:eastAsia="Times New Roman"/>
          <w:b w:val="0"/>
          <w:i w:val="0"/>
          <w:color w:val="0E1620"/>
          <w:sz w:val="20"/>
        </w:rPr>
        <w:t>(2), 94–110. https://doi.org/10.3905/jai.2020.1.101</w:t>
      </w:r>
    </w:p>
    <w:p>
      <w:pPr>
        <w:spacing w:after="120" w:line="252" w:lineRule="auto"/>
        <w:ind w:left="432" w:hanging="432"/>
      </w:pPr>
      <w:r>
        <w:rPr>
          <w:rFonts w:ascii="Times New Roman" w:hAnsi="Times New Roman" w:eastAsia="Times New Roman"/>
          <w:b w:val="0"/>
          <w:i w:val="0"/>
          <w:color w:val="0E1620"/>
          <w:sz w:val="20"/>
        </w:rPr>
        <w:t xml:space="preserve">Phalippou, L. (2020). An inconvenient fact: Private equity returns and the billionaire factory. </w:t>
      </w:r>
      <w:r>
        <w:rPr>
          <w:rFonts w:ascii="Times New Roman" w:hAnsi="Times New Roman" w:eastAsia="Times New Roman"/>
          <w:b w:val="0"/>
          <w:i/>
          <w:color w:val="0E1620"/>
          <w:sz w:val="20"/>
        </w:rPr>
        <w:t>The Journal of Investing, 30</w:t>
      </w:r>
      <w:r>
        <w:rPr>
          <w:rFonts w:ascii="Times New Roman" w:hAnsi="Times New Roman" w:eastAsia="Times New Roman"/>
          <w:b w:val="0"/>
          <w:i w:val="0"/>
          <w:color w:val="0E1620"/>
          <w:sz w:val="20"/>
        </w:rPr>
        <w:t>(1), 11–39 (University of Oxford, Saïd Business School Working Paper 2020-10). https://doi.org/10.3905/joi.2020.1.153</w:t>
      </w:r>
    </w:p>
    <w:p>
      <w:pPr>
        <w:keepNext/>
        <w:spacing w:before="280" w:after="120"/>
      </w:pPr>
      <w:r>
        <w:rPr>
          <w:rFonts w:ascii="Times New Roman" w:hAnsi="Times New Roman" w:eastAsia="Times New Roman"/>
          <w:b/>
          <w:i w:val="0"/>
          <w:color w:val="314359"/>
          <w:sz w:val="26"/>
        </w:rPr>
        <w:t>2.  Industry datasets and practitioner research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b w:val="0"/>
          <w:i/>
          <w:color w:val="556A83"/>
          <w:sz w:val="19"/>
        </w:rPr>
        <w:t>Practitioner reports are cited by institution and year; where no formal publication record or DOI exists, the issuing body and report series are given. Figures are as reported by the issuer.</w:t>
      </w:r>
    </w:p>
    <w:p>
      <w:pPr>
        <w:spacing w:after="120" w:line="252" w:lineRule="auto"/>
        <w:ind w:left="432" w:hanging="432"/>
      </w:pPr>
      <w:r>
        <w:rPr>
          <w:rFonts w:ascii="Times New Roman" w:hAnsi="Times New Roman" w:eastAsia="Times New Roman"/>
          <w:b w:val="0"/>
          <w:i w:val="0"/>
          <w:color w:val="0E1620"/>
          <w:sz w:val="20"/>
        </w:rPr>
        <w:t xml:space="preserve">Asness, C. S. (2023). </w:t>
      </w:r>
      <w:r>
        <w:rPr>
          <w:rFonts w:ascii="Times New Roman" w:hAnsi="Times New Roman" w:eastAsia="Times New Roman"/>
          <w:b w:val="0"/>
          <w:i/>
          <w:color w:val="0E1620"/>
          <w:sz w:val="20"/>
        </w:rPr>
        <w:t xml:space="preserve">Why does private equity get to keep calling recessions investment opportunities? (“Volatility laundering”). </w:t>
      </w:r>
      <w:r>
        <w:rPr>
          <w:rFonts w:ascii="Times New Roman" w:hAnsi="Times New Roman" w:eastAsia="Times New Roman"/>
          <w:b w:val="0"/>
          <w:i w:val="0"/>
          <w:color w:val="0E1620"/>
          <w:sz w:val="20"/>
        </w:rPr>
        <w:t>AQR Capital Management — Cliff’s Perspectives.</w:t>
      </w:r>
    </w:p>
    <w:p>
      <w:pPr>
        <w:spacing w:after="120" w:line="252" w:lineRule="auto"/>
        <w:ind w:left="432" w:hanging="432"/>
      </w:pPr>
      <w:r>
        <w:rPr>
          <w:rFonts w:ascii="Times New Roman" w:hAnsi="Times New Roman" w:eastAsia="Times New Roman"/>
          <w:b w:val="0"/>
          <w:i w:val="0"/>
          <w:color w:val="0E1620"/>
          <w:sz w:val="20"/>
        </w:rPr>
        <w:t xml:space="preserve">British Private Equity &amp; Venture Capital Association (BVCA) &amp; Capital Dynamics. (2024). </w:t>
      </w:r>
      <w:r>
        <w:rPr>
          <w:rFonts w:ascii="Times New Roman" w:hAnsi="Times New Roman" w:eastAsia="Times New Roman"/>
          <w:b w:val="0"/>
          <w:i/>
          <w:color w:val="0E1620"/>
          <w:sz w:val="20"/>
        </w:rPr>
        <w:t>BVCA Private Equity and Venture Capital Performance Measurement Survey (PME+ methodology).</w:t>
      </w:r>
      <w:r>
        <w:rPr>
          <w:rFonts w:ascii="Times New Roman" w:hAnsi="Times New Roman" w:eastAsia="Times New Roman"/>
          <w:b w:val="0"/>
          <w:i w:val="0"/>
          <w:color w:val="0E1620"/>
          <w:sz w:val="20"/>
        </w:rPr>
        <w:t xml:space="preserve"> London: BVCA.</w:t>
      </w:r>
    </w:p>
    <w:p>
      <w:pPr>
        <w:spacing w:after="120" w:line="252" w:lineRule="auto"/>
        <w:ind w:left="432" w:hanging="432"/>
      </w:pPr>
      <w:r>
        <w:rPr>
          <w:rFonts w:ascii="Times New Roman" w:hAnsi="Times New Roman" w:eastAsia="Times New Roman"/>
          <w:b w:val="0"/>
          <w:i w:val="0"/>
          <w:color w:val="0E1620"/>
          <w:sz w:val="20"/>
        </w:rPr>
        <w:t xml:space="preserve">Cambridge Associates. (2024). </w:t>
      </w:r>
      <w:r>
        <w:rPr>
          <w:rFonts w:ascii="Times New Roman" w:hAnsi="Times New Roman" w:eastAsia="Times New Roman"/>
          <w:b w:val="0"/>
          <w:i/>
          <w:color w:val="0E1620"/>
          <w:sz w:val="20"/>
        </w:rPr>
        <w:t>US Private Equity Index and Selected Benchmark Statistics (Q2 2024).</w:t>
      </w:r>
      <w:r>
        <w:rPr>
          <w:rFonts w:ascii="Times New Roman" w:hAnsi="Times New Roman" w:eastAsia="Times New Roman"/>
          <w:b w:val="0"/>
          <w:i w:val="0"/>
          <w:color w:val="0E1620"/>
          <w:sz w:val="20"/>
        </w:rPr>
        <w:t xml:space="preserve"> Boston: Cambridge Associates LLC.</w:t>
      </w:r>
    </w:p>
    <w:p>
      <w:pPr>
        <w:spacing w:after="120" w:line="252" w:lineRule="auto"/>
        <w:ind w:left="432" w:hanging="432"/>
      </w:pPr>
      <w:r>
        <w:rPr>
          <w:rFonts w:ascii="Times New Roman" w:hAnsi="Times New Roman" w:eastAsia="Times New Roman"/>
          <w:b w:val="0"/>
          <w:i w:val="0"/>
          <w:color w:val="0E1620"/>
          <w:sz w:val="20"/>
        </w:rPr>
        <w:t xml:space="preserve">Cliffwater LLC. (2023). </w:t>
      </w:r>
      <w:r>
        <w:rPr>
          <w:rFonts w:ascii="Times New Roman" w:hAnsi="Times New Roman" w:eastAsia="Times New Roman"/>
          <w:b w:val="0"/>
          <w:i/>
          <w:color w:val="0E1620"/>
          <w:sz w:val="20"/>
        </w:rPr>
        <w:t>Long-term private equity performance in US state pension plans (2000–2022).</w:t>
      </w:r>
      <w:r>
        <w:rPr>
          <w:rFonts w:ascii="Times New Roman" w:hAnsi="Times New Roman" w:eastAsia="Times New Roman"/>
          <w:b w:val="0"/>
          <w:i w:val="0"/>
          <w:color w:val="0E1620"/>
          <w:sz w:val="20"/>
        </w:rPr>
        <w:t xml:space="preserve"> Marina del Rey: Cliffwater LLC.</w:t>
      </w:r>
    </w:p>
    <w:p>
      <w:pPr>
        <w:spacing w:after="120" w:line="252" w:lineRule="auto"/>
        <w:ind w:left="432" w:hanging="432"/>
      </w:pPr>
      <w:r>
        <w:rPr>
          <w:rFonts w:ascii="Times New Roman" w:hAnsi="Times New Roman" w:eastAsia="Times New Roman"/>
          <w:b w:val="0"/>
          <w:i w:val="0"/>
          <w:color w:val="0E1620"/>
          <w:sz w:val="20"/>
        </w:rPr>
        <w:t xml:space="preserve">Morningstar. (2023). </w:t>
      </w:r>
      <w:r>
        <w:rPr>
          <w:rFonts w:ascii="Times New Roman" w:hAnsi="Times New Roman" w:eastAsia="Times New Roman"/>
          <w:b w:val="0"/>
          <w:i/>
          <w:color w:val="0E1620"/>
          <w:sz w:val="20"/>
        </w:rPr>
        <w:t>Volatility laundering: How private equity funds understate the risk of their investments.</w:t>
      </w:r>
      <w:r>
        <w:rPr>
          <w:rFonts w:ascii="Times New Roman" w:hAnsi="Times New Roman" w:eastAsia="Times New Roman"/>
          <w:b w:val="0"/>
          <w:i w:val="0"/>
          <w:color w:val="0E1620"/>
          <w:sz w:val="20"/>
        </w:rPr>
        <w:t xml:space="preserve"> Chicago: Morningstar, Inc.</w:t>
      </w:r>
    </w:p>
    <w:p>
      <w:pPr>
        <w:spacing w:after="120" w:line="252" w:lineRule="auto"/>
        <w:ind w:left="432" w:hanging="432"/>
      </w:pPr>
      <w:r>
        <w:rPr>
          <w:rFonts w:ascii="Times New Roman" w:hAnsi="Times New Roman" w:eastAsia="Times New Roman"/>
          <w:b w:val="0"/>
          <w:i w:val="0"/>
          <w:color w:val="0E1620"/>
          <w:sz w:val="20"/>
        </w:rPr>
        <w:t xml:space="preserve">PIMCO. (2022). </w:t>
      </w:r>
      <w:r>
        <w:rPr>
          <w:rFonts w:ascii="Times New Roman" w:hAnsi="Times New Roman" w:eastAsia="Times New Roman"/>
          <w:b w:val="0"/>
          <w:i/>
          <w:color w:val="0E1620"/>
          <w:sz w:val="20"/>
        </w:rPr>
        <w:t>The discreet charm of private assets: De-smoothing and the true volatility of private equity.</w:t>
      </w:r>
      <w:r>
        <w:rPr>
          <w:rFonts w:ascii="Times New Roman" w:hAnsi="Times New Roman" w:eastAsia="Times New Roman"/>
          <w:b w:val="0"/>
          <w:i w:val="0"/>
          <w:color w:val="0E1620"/>
          <w:sz w:val="20"/>
        </w:rPr>
        <w:t xml:space="preserve"> Newport Beach: PIMCO.</w:t>
      </w:r>
    </w:p>
    <w:p>
      <w:pPr>
        <w:spacing w:after="120" w:line="252" w:lineRule="auto"/>
        <w:ind w:left="432" w:hanging="432"/>
      </w:pPr>
      <w:r>
        <w:rPr>
          <w:rFonts w:ascii="Times New Roman" w:hAnsi="Times New Roman" w:eastAsia="Times New Roman"/>
          <w:b w:val="0"/>
          <w:i w:val="0"/>
          <w:color w:val="0E1620"/>
          <w:sz w:val="20"/>
        </w:rPr>
        <w:t xml:space="preserve">Two Sigma Investments. (2024). </w:t>
      </w:r>
      <w:r>
        <w:rPr>
          <w:rFonts w:ascii="Times New Roman" w:hAnsi="Times New Roman" w:eastAsia="Times New Roman"/>
          <w:b w:val="0"/>
          <w:i/>
          <w:color w:val="0E1620"/>
          <w:sz w:val="20"/>
        </w:rPr>
        <w:t>The alternative truth of private equity (Venn by Two Sigma): de-smoothing the Preqin Private Equity Index.</w:t>
      </w:r>
      <w:r>
        <w:rPr>
          <w:rFonts w:ascii="Times New Roman" w:hAnsi="Times New Roman" w:eastAsia="Times New Roman"/>
          <w:b w:val="0"/>
          <w:i w:val="0"/>
          <w:color w:val="0E1620"/>
          <w:sz w:val="20"/>
        </w:rPr>
        <w:t xml:space="preserve"> New York: Two Sigma.</w:t>
      </w:r>
    </w:p>
    <w:p>
      <w:pPr>
        <w:keepNext/>
        <w:spacing w:before="280" w:after="120"/>
      </w:pPr>
      <w:r>
        <w:rPr>
          <w:rFonts w:ascii="Times New Roman" w:hAnsi="Times New Roman" w:eastAsia="Times New Roman"/>
          <w:b/>
          <w:i w:val="0"/>
          <w:color w:val="314359"/>
          <w:sz w:val="26"/>
        </w:rPr>
        <w:t>3.  Data and methodology</w:t>
      </w:r>
    </w:p>
    <w:p>
      <w:pPr>
        <w:spacing w:after="80" w:line="259" w:lineRule="auto"/>
      </w:pPr>
      <w:r>
        <w:rPr>
          <w:rFonts w:ascii="Times New Roman" w:hAnsi="Times New Roman" w:eastAsia="Times New Roman"/>
          <w:b w:val="0"/>
          <w:i w:val="0"/>
          <w:color w:val="0E1620"/>
          <w:sz w:val="19"/>
        </w:rPr>
        <w:t>All Athanase figures are computed directly from the fund’s audited net monthly return series, 235 months (2006–2025), not drawn from third-party estimates:</w:t>
      </w:r>
    </w:p>
    <w:p>
      <w:pPr>
        <w:pStyle w:val="ListBullet"/>
        <w:spacing w:after="40"/>
        <w:ind w:left="432"/>
      </w:pPr>
      <w:r>
        <w:rPr>
          <w:rFonts w:ascii="Times New Roman" w:hAnsi="Times New Roman" w:eastAsia="Times New Roman"/>
          <w:b w:val="0"/>
          <w:i w:val="0"/>
          <w:color w:val="0E1620"/>
          <w:sz w:val="19"/>
        </w:rPr>
        <w:t>Annualised return: geometric compounding of monthly net returns; 16.0% p.a.</w:t>
      </w:r>
    </w:p>
    <w:p>
      <w:pPr>
        <w:pStyle w:val="ListBullet"/>
        <w:spacing w:after="40"/>
        <w:ind w:left="432"/>
      </w:pPr>
      <w:r>
        <w:rPr>
          <w:rFonts w:ascii="Times New Roman" w:hAnsi="Times New Roman" w:eastAsia="Times New Roman"/>
          <w:b w:val="0"/>
          <w:i w:val="0"/>
          <w:color w:val="0E1620"/>
          <w:sz w:val="19"/>
        </w:rPr>
        <w:t>Total volatility: standard deviation of monthly returns × √12; 27.0% p.a.</w:t>
      </w:r>
    </w:p>
    <w:p>
      <w:pPr>
        <w:pStyle w:val="ListBullet"/>
        <w:spacing w:after="40"/>
        <w:ind w:left="432"/>
      </w:pPr>
      <w:r>
        <w:rPr>
          <w:rFonts w:ascii="Times New Roman" w:hAnsi="Times New Roman" w:eastAsia="Times New Roman"/>
          <w:b w:val="0"/>
          <w:i w:val="0"/>
          <w:color w:val="0E1620"/>
          <w:sz w:val="19"/>
        </w:rPr>
        <w:t>Downside volatility: deviation of negative months below a 0% minimum acceptable return × √12; 10.9% p.a.</w:t>
      </w:r>
    </w:p>
    <w:p>
      <w:pPr>
        <w:pStyle w:val="ListBullet"/>
        <w:spacing w:after="40"/>
        <w:ind w:left="432"/>
      </w:pPr>
      <w:r>
        <w:rPr>
          <w:rFonts w:ascii="Times New Roman" w:hAnsi="Times New Roman" w:eastAsia="Times New Roman"/>
          <w:b w:val="0"/>
          <w:i w:val="0"/>
          <w:color w:val="0E1620"/>
          <w:sz w:val="19"/>
        </w:rPr>
        <w:t>Correlation / beta: versus the MSCI World IMI over the common period; 0.44 correlation, 0.73 beta.</w:t>
      </w:r>
    </w:p>
    <w:p>
      <w:pPr>
        <w:pStyle w:val="ListBullet"/>
        <w:spacing w:after="40"/>
        <w:ind w:left="432"/>
      </w:pPr>
      <w:r>
        <w:rPr>
          <w:rFonts w:ascii="Times New Roman" w:hAnsi="Times New Roman" w:eastAsia="Times New Roman"/>
          <w:b w:val="0"/>
          <w:i w:val="0"/>
          <w:color w:val="0E1620"/>
          <w:sz w:val="19"/>
        </w:rPr>
        <w:t>Large-loss frequency: share of rolling 36-month windows with a cumulative return below −30%; ≈2%.</w:t>
      </w:r>
    </w:p>
    <w:p>
      <w:pPr>
        <w:spacing w:after="40" w:line="259" w:lineRule="auto"/>
      </w:pPr>
      <w:r>
        <w:rPr>
          <w:rFonts w:ascii="Times New Roman" w:hAnsi="Times New Roman" w:eastAsia="Times New Roman"/>
          <w:b w:val="0"/>
          <w:i/>
          <w:color w:val="556A83"/>
          <w:sz w:val="19"/>
        </w:rPr>
        <w:t>Private-equity figures are taken from the sources in Sections 1–2. Where a chart shows a “de-smoothed”, “true economic” or “committed-capital” value, it reflects the cited research rather than reported (appraisal-based) data. Bridge and illustrative magnitudes reconcile the cited endpoints and are labelled as such on the relevant slides. Past performance is not indicative of future results; this document is for professional investors and is not investment advice.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E16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