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仿宋_GB2312" w:cs="仿宋_GB2312" w:eastAsia="仿宋_GB2312" w:hAnsi="仿宋_GB2312"/>
        </w:rPr>
        <w:t xml:space="preserve">300308.SZ公司研究框架及信息源规则</w:t>
      </w:r>
    </w:p>
    <w:p>
      <w:pPr>
        <w:pStyle w:val="Heading1"/>
      </w:pPr>
      <w:r>
        <w:t xml:space="preserve">提问：300308.SZ ## 公司
1. Narrative
市场为什么关注它？
共识是什么？
2. Fundamentals
核心竞争力
核心经营变量
3. Industry
供需格局
竞争格局
4. Marginal Change（最重要）
最近变了什么？
哪个变量在拐点？
5. Valuation
怎么估值？
贵在哪里？
6. Risk / Alpha
风险是什么？
市场忽视了什么？
1. 准入信息源（白名单）
仅允许采集、参考和解析满足以下所有条件的信息：
时效限制：发布时间必须在当前时间往前推 6 个月以内（以报告/数据发布日期为准）。
机构资质：
持牌卖方机构：合规证券公司（券商）研究所发布的行业研究报告、公司深度报告、策略会纪要、财报解读。
官方与权威机构：国家及地方统计局、政府部委官方数据；依法注册的全国性/区域性行业协会报告；主流知名智库（如中国社科院、麦肯锡、波士顿咨询等）的行业白皮书。
2. 严禁接入信息源（黑名单）
以下类型的信息，无论内容如何、热度多高，一律禁止采集和引用：
社交媒体平台：包括但不限于微博、雪球、小红书、微信朋友圈、各类论坛等。
新闻与聚合式财经平台：包括但不限于新浪财经、腾讯财经、东方财富网新闻板块、同花顺财经等。
快讯与AI采集媒体：包括但不限于财联社、中国基金报、证券时报网等以“电报/快讯/AI自动生成”为主的即时媒体。
自媒体与非持牌个人/机构：包括但不限于微信公众号（非券商研究所官方认证号）、雪球大V、各类财经专栏作家、未经官方认证的商业自媒体。
3. Agent 行为执行判定逻辑
在检索和筛选信息时，请执行以下前置审查流：
查验域名与账号主体：优先抓取 .gov.cn、.org 或持牌券商官方研究系统域名。若信息来自公共平台，必须校验发布主体是否为“xx证券研究所”或“xx行业协会”。
内容特征过滤：若文本中包含“据媒体报道”、“有消息称”、“AI生成”、“爆料”等高频新闻/自媒体词汇，直接判定为低质量，立即丢弃。
时间戳强校验：无法明确识别发布时间，或发布时间超过6个月的材料，不予采集。</w:t>
      </w:r>
    </w:p>
    <w:p>
      <w:pPr>
        <w:pStyle w:val="Heading1"/>
      </w:pPr>
      <w:r>
        <w:t xml:space="preserve">结论</w:t>
      </w:r>
    </w:p>
    <w:p>
      <w:pPr>
        <w:pStyle w:val="ListParagraph"/>
        <w:numPr>
          <w:ilvl w:val="0"/>
          <w:numId w:val="2"/>
        </w:numPr>
      </w:pPr>
      <w:r>
        <w:t xml:space="preserve">中际旭创不是传统制造股逻辑，而是 AI 光互联周期里的“产能 + 客户 + 技术路线”定价。</w:t>
      </w:r>
    </w:p>
    <w:p>
      <w:pPr>
        <w:pStyle w:val="ListParagraph"/>
        <w:numPr>
          <w:ilvl w:val="1"/>
          <w:numId w:val="2"/>
        </w:numPr>
      </w:pPr>
      <w:r>
        <w:t xml:space="preserve">市场关注它，核心不是 2025 年高增长本身，而是 2026-2027 年 800G、1.6T、NPO/CPO 等新一代光互联需求能否持续兑现。</w:t>
      </w:r>
    </w:p>
    <w:p>
      <w:pPr>
        <w:pStyle w:val="ListParagraph"/>
        <w:numPr>
          <w:ilvl w:val="1"/>
          <w:numId w:val="2"/>
        </w:numPr>
      </w:pPr>
      <w:r>
        <w:t xml:space="preserve">公司 FY2025 营收</w:t>
      </w:r>
      <w:r>
        <w:rPr>
          <w:b/>
          <w:bCs/>
        </w:rPr>
        <w:t xml:space="preserve">382.40亿元</w:t>
      </w:r>
      <w:r>
        <w:t xml:space="preserve">，归母净利润</w:t>
      </w:r>
      <w:r>
        <w:rPr>
          <w:b/>
          <w:bCs/>
        </w:rPr>
        <w:t xml:space="preserve">107.97亿元</w:t>
      </w:r>
      <w:r>
        <w:t xml:space="preserve">；2026Q1 单季营收</w:t>
      </w:r>
      <w:r>
        <w:rPr>
          <w:b/>
          <w:bCs/>
        </w:rPr>
        <w:t xml:space="preserve">194.96亿元</w:t>
      </w:r>
      <w:r>
        <w:t xml:space="preserve">，归母净利润</w:t>
      </w:r>
      <w:r>
        <w:rPr>
          <w:b/>
          <w:bCs/>
        </w:rPr>
        <w:t xml:space="preserve">57.35亿元</w:t>
      </w:r>
      <w:r>
        <w:t xml:space="preserve">，同比增速分别为</w:t>
      </w:r>
      <w:r>
        <w:rPr>
          <w:b/>
          <w:bCs/>
        </w:rPr>
        <w:t xml:space="preserve">+192.12%</w:t>
      </w:r>
      <w:r>
        <w:t xml:space="preserve">、</w:t>
      </w:r>
      <w:r>
        <w:rPr>
          <w:b/>
          <w:bCs/>
        </w:rPr>
        <w:t xml:space="preserve">+262.28%</w:t>
      </w:r>
      <w:r>
        <w:t xml:space="preserve">，业绩斜率仍在上行。</w:t>
      </w:r>
    </w:p>
    <w:p>
      <w:pPr>
        <w:pStyle w:val="ListParagraph"/>
        <w:numPr>
          <w:ilvl w:val="0"/>
          <w:numId w:val="2"/>
        </w:numPr>
      </w:pPr>
      <w:r>
        <w:t xml:space="preserve">当前市场共识已经从“AI 光模块景气”切到“中际旭创能否吃到 2027 年架构升级利润池”。</w:t>
      </w:r>
    </w:p>
    <w:p>
      <w:pPr>
        <w:pStyle w:val="ListParagraph"/>
        <w:numPr>
          <w:ilvl w:val="1"/>
          <w:numId w:val="2"/>
        </w:numPr>
      </w:pPr>
      <w:r>
        <w:t xml:space="preserve">800G 是兑现项，1.6T 是主增量，NPO/CPO 是估值延长项。</w:t>
      </w:r>
    </w:p>
    <w:p>
      <w:pPr>
        <w:pStyle w:val="ListParagraph"/>
        <w:numPr>
          <w:ilvl w:val="1"/>
          <w:numId w:val="2"/>
        </w:numPr>
      </w:pPr>
      <w:r>
        <w:t xml:space="preserve">如果只看 2026 年动态 PE，公司并不贵；如果认为 2027 年之后光模块 ASP 下行、竞争加剧、CPO 重塑价值链，那么贵的是“远期利润持续性”。</w:t>
      </w:r>
    </w:p>
    <w:p>
      <w:pPr>
        <w:pStyle w:val="ListParagraph"/>
        <w:numPr>
          <w:ilvl w:val="0"/>
          <w:numId w:val="2"/>
        </w:numPr>
      </w:pPr>
      <w:r>
        <w:t xml:space="preserve">最重要的边际变化在三处：</w:t>
      </w:r>
    </w:p>
    <w:p>
      <w:pPr>
        <w:pStyle w:val="ListParagraph"/>
        <w:numPr>
          <w:ilvl w:val="1"/>
          <w:numId w:val="2"/>
        </w:numPr>
      </w:pPr>
      <w:r>
        <w:t xml:space="preserve">1.6T 需求从“可选升级”变成北美 CSP 算力扩张的核心配置。</w:t>
      </w:r>
    </w:p>
    <w:p>
      <w:pPr>
        <w:pStyle w:val="ListParagraph"/>
        <w:numPr>
          <w:ilvl w:val="1"/>
          <w:numId w:val="2"/>
        </w:numPr>
      </w:pPr>
      <w:r>
        <w:t xml:space="preserve">供给约束从普通产能转向上游光芯片、DSP、测试设备、良率和海外交付能力。</w:t>
      </w:r>
    </w:p>
    <w:p>
      <w:pPr>
        <w:pStyle w:val="ListParagraph"/>
        <w:numPr>
          <w:ilvl w:val="1"/>
          <w:numId w:val="2"/>
        </w:numPr>
      </w:pPr>
      <w:r>
        <w:t xml:space="preserve">市场估值锚从 2026E 利润切向 2027E 利润，股价对订单可见度和新技术路线更敏感。</w:t>
      </w:r>
    </w:p>
    <w:p>
      <w:pPr>
        <w:pStyle w:val="ListParagraph"/>
        <w:numPr>
          <w:ilvl w:val="0"/>
          <w:numId w:val="2"/>
        </w:numPr>
      </w:pPr>
      <w:r>
        <w:t xml:space="preserve">估值上，按查询口径股价 526.58 元、总市值 5,812.43亿元测算，2026E PE 约 19.95x。</w:t>
      </w:r>
    </w:p>
    <w:p>
      <w:pPr>
        <w:pStyle w:val="ListParagraph"/>
        <w:numPr>
          <w:ilvl w:val="1"/>
          <w:numId w:val="2"/>
        </w:numPr>
      </w:pPr>
      <w:r>
        <w:t xml:space="preserve">该测算基于 2026 年机构预测归母净利润中值</w:t>
      </w:r>
      <w:r>
        <w:rPr>
          <w:b/>
          <w:bCs/>
        </w:rPr>
        <w:t xml:space="preserve">291.33亿元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若采用已披露样本中的 2027E 归母净利润中值约</w:t>
      </w:r>
      <w:r>
        <w:rPr>
          <w:b/>
          <w:bCs/>
        </w:rPr>
        <w:t xml:space="preserve">561.37亿元</w:t>
      </w:r>
      <w:r>
        <w:t xml:space="preserve">，对应 2027E PE 约</w:t>
      </w:r>
      <w:r>
        <w:rPr>
          <w:b/>
          <w:bCs/>
        </w:rPr>
        <w:t xml:space="preserve">10.35x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行情数据存在时点限制，股价和市值需以交易终端实时数据复核。</w:t>
      </w:r>
    </w:p>
    <w:p>
      <w:pPr>
        <w:pStyle w:val="Heading1"/>
      </w:pPr>
      <w:r>
        <w:t xml:space="preserve">一、Narrative：市场为什么关注它，共识是什么</w:t>
      </w:r>
    </w:p>
    <w:p>
      <w:pPr>
        <w:pStyle w:val="Heading2"/>
      </w:pPr>
      <w:r>
        <w:t xml:space="preserve">1.1. 市场关注的不是“光模块”，而是 AI 算力网络的瓶颈资产</w:t>
      </w:r>
    </w:p>
    <w:p>
      <w:pPr>
        <w:pStyle w:val="Paragraph"/>
        <w:jc w:val="left"/>
      </w:pPr>
      <w:r>
        <w:t xml:space="preserve">中际旭创被市场持续定价，本质上是因为 AI 算力扩张已经从 GPU 单点供给，扩散到交换机、光互联、上游光芯片、测试设备和系统架构。光模块在 AI 集群里不是可有可无的零部件，而是决定带宽、功耗、延迟和集群扩展效率的“血管”。</w:t>
      </w:r>
    </w:p>
    <w:p>
      <w:pPr>
        <w:pStyle w:val="ListParagraph"/>
        <w:numPr>
          <w:ilvl w:val="0"/>
          <w:numId w:val="2"/>
        </w:numPr>
      </w:pPr>
      <w:r>
        <w:t xml:space="preserve">短期叙事：业绩兑现强。</w:t>
      </w:r>
    </w:p>
    <w:p>
      <w:pPr>
        <w:pStyle w:val="ListParagraph"/>
        <w:numPr>
          <w:ilvl w:val="1"/>
          <w:numId w:val="2"/>
        </w:numPr>
      </w:pPr>
      <w:r>
        <w:t xml:space="preserve">FY2025 营收</w:t>
      </w:r>
      <w:r>
        <w:rPr>
          <w:b/>
          <w:bCs/>
        </w:rPr>
        <w:t xml:space="preserve">382.40亿元</w:t>
      </w:r>
      <w:r>
        <w:t xml:space="preserve">，同比</w:t>
      </w:r>
      <w:r>
        <w:rPr>
          <w:b/>
          <w:bCs/>
        </w:rPr>
        <w:t xml:space="preserve">+60.25%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FY2025 归母净利润</w:t>
      </w:r>
      <w:r>
        <w:rPr>
          <w:b/>
          <w:bCs/>
        </w:rPr>
        <w:t xml:space="preserve">107.97亿元</w:t>
      </w:r>
      <w:r>
        <w:t xml:space="preserve">，同比</w:t>
      </w:r>
      <w:r>
        <w:rPr>
          <w:b/>
          <w:bCs/>
        </w:rPr>
        <w:t xml:space="preserve">+108.78%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2026Q1 单季归母净利润</w:t>
      </w:r>
      <w:r>
        <w:rPr>
          <w:b/>
          <w:bCs/>
        </w:rPr>
        <w:t xml:space="preserve">57.35亿元</w:t>
      </w:r>
      <w:r>
        <w:t xml:space="preserve">，已经达到 FY2025 全年利润的</w:t>
      </w:r>
      <w:r>
        <w:rPr>
          <w:b/>
          <w:bCs/>
        </w:rPr>
        <w:t xml:space="preserve">53.11%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中期叙事：800G 向 1.6T 迁移。</w:t>
      </w:r>
    </w:p>
    <w:p>
      <w:pPr>
        <w:pStyle w:val="ListParagraph"/>
        <w:numPr>
          <w:ilvl w:val="1"/>
          <w:numId w:val="2"/>
        </w:numPr>
      </w:pPr>
      <w:r>
        <w:t xml:space="preserve">800G 已经进入规模交付阶段。</w:t>
      </w:r>
    </w:p>
    <w:p>
      <w:pPr>
        <w:pStyle w:val="ListParagraph"/>
        <w:numPr>
          <w:ilvl w:val="1"/>
          <w:numId w:val="2"/>
        </w:numPr>
      </w:pPr>
      <w:r>
        <w:t xml:space="preserve">1.6T 从 2026 年开始成为增量主线。</w:t>
      </w:r>
    </w:p>
    <w:p>
      <w:pPr>
        <w:pStyle w:val="ListParagraph"/>
        <w:numPr>
          <w:ilvl w:val="1"/>
          <w:numId w:val="2"/>
        </w:numPr>
      </w:pPr>
      <w:r>
        <w:t xml:space="preserve">华泰研究提到，2026 年 800G 和 1.6T 将快速放量，二者合计市场规模有望达到</w:t>
      </w:r>
      <w:r>
        <w:rPr>
          <w:b/>
          <w:bCs/>
        </w:rPr>
        <w:t xml:space="preserve">146亿美元</w:t>
      </w:r>
      <w:r>
        <w:t xml:space="preserve">，占整体光模块市场约</w:t>
      </w:r>
      <w:r>
        <w:rPr>
          <w:b/>
          <w:bCs/>
        </w:rPr>
        <w:t xml:space="preserve">64%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远期叙事：NPO/CPO 决定利润池分配。</w:t>
      </w:r>
    </w:p>
    <w:p>
      <w:pPr>
        <w:pStyle w:val="ListParagraph"/>
        <w:numPr>
          <w:ilvl w:val="1"/>
          <w:numId w:val="2"/>
        </w:numPr>
      </w:pPr>
      <w:r>
        <w:t xml:space="preserve">市场开始讨论的不再是“卖多少只模块”，而是模块厂能否进入下一代网络架构定义。</w:t>
      </w:r>
    </w:p>
    <w:p>
      <w:pPr>
        <w:pStyle w:val="ListParagraph"/>
        <w:numPr>
          <w:ilvl w:val="1"/>
          <w:numId w:val="2"/>
        </w:numPr>
      </w:pPr>
      <w:r>
        <w:t xml:space="preserve">如果 NPO 先于 CPO 规模化，中际旭创这类头部模块厂的估值窗口会被拉长。</w:t>
      </w:r>
    </w:p>
    <w:p>
      <w:pPr>
        <w:pStyle w:val="ListParagraph"/>
        <w:numPr>
          <w:ilvl w:val="1"/>
          <w:numId w:val="2"/>
        </w:numPr>
      </w:pPr>
      <w:r>
        <w:t xml:space="preserve">如果 CPO 由交换芯片厂或系统厂重构价值链，传统可插拔模块的远期利润率会被重估。</w:t>
      </w:r>
    </w:p>
    <w:p>
      <w:pPr>
        <w:pStyle w:val="Heading2"/>
      </w:pPr>
      <w:r>
        <w:t xml:space="preserve">1.2. 市场共识：龙头优势强，但估值已经隐含较高兑现要求</w:t>
      </w:r>
    </w:p>
    <w:p>
      <w:pPr>
        <w:pStyle w:val="Paragraph"/>
        <w:jc w:val="left"/>
      </w:pPr>
      <w:r>
        <w:t xml:space="preserve">当前共识可以概括为三句话：需求强、格局集中、利润兑现度高。但这个共识的代价是，市场已经不太会为“AI 光模块景气”本身继续支付额外溢价，后续股价需要靠盈利上修和订单验证推动。</w:t>
      </w:r>
    </w:p>
    <w:p>
      <w:pPr>
        <w:pStyle w:val="ListParagraph"/>
        <w:numPr>
          <w:ilvl w:val="0"/>
          <w:numId w:val="2"/>
        </w:numPr>
      </w:pPr>
      <w:r>
        <w:t xml:space="preserve">需求共识：</w:t>
      </w:r>
    </w:p>
    <w:p>
      <w:pPr>
        <w:pStyle w:val="ListParagraph"/>
        <w:numPr>
          <w:ilvl w:val="1"/>
          <w:numId w:val="2"/>
        </w:numPr>
      </w:pPr>
      <w:r>
        <w:t xml:space="preserve">2026-2027 年北美 AI 集群建设仍是高速光模块需求主引擎。</w:t>
      </w:r>
    </w:p>
    <w:p>
      <w:pPr>
        <w:pStyle w:val="ListParagraph"/>
        <w:numPr>
          <w:ilvl w:val="1"/>
          <w:numId w:val="2"/>
        </w:numPr>
      </w:pPr>
      <w:r>
        <w:t xml:space="preserve">800G 不是结束，1.6T 才是下一轮收入和利润弹性核心。</w:t>
      </w:r>
    </w:p>
    <w:p>
      <w:pPr>
        <w:pStyle w:val="ListParagraph"/>
        <w:numPr>
          <w:ilvl w:val="1"/>
          <w:numId w:val="2"/>
        </w:numPr>
      </w:pPr>
      <w:r>
        <w:t xml:space="preserve">2027 年 NPO、CPO、Coherent-lite 等路线会影响估值持续性。</w:t>
      </w:r>
    </w:p>
    <w:p>
      <w:pPr>
        <w:pStyle w:val="ListParagraph"/>
        <w:numPr>
          <w:ilvl w:val="0"/>
          <w:numId w:val="2"/>
        </w:numPr>
      </w:pPr>
      <w:r>
        <w:t xml:space="preserve">格局共识：</w:t>
      </w:r>
    </w:p>
    <w:p>
      <w:pPr>
        <w:pStyle w:val="ListParagraph"/>
        <w:numPr>
          <w:ilvl w:val="1"/>
          <w:numId w:val="2"/>
        </w:numPr>
      </w:pPr>
      <w:r>
        <w:t xml:space="preserve">800G 竞争会比 1.6T 更松散。</w:t>
      </w:r>
    </w:p>
    <w:p>
      <w:pPr>
        <w:pStyle w:val="ListParagraph"/>
        <w:numPr>
          <w:ilvl w:val="1"/>
          <w:numId w:val="2"/>
        </w:numPr>
      </w:pPr>
      <w:r>
        <w:t xml:space="preserve">1.6T 及更高端产品客户验证、物料锁定、良率、交付稳定性要求更高，份额更容易向头部集中。</w:t>
      </w:r>
    </w:p>
    <w:p>
      <w:pPr>
        <w:pStyle w:val="ListParagraph"/>
        <w:numPr>
          <w:ilvl w:val="1"/>
          <w:numId w:val="2"/>
        </w:numPr>
      </w:pPr>
      <w:r>
        <w:t xml:space="preserve">电子行业策略报告列示的全球光模块厂商排名显示，2024 年中际旭创位列全球第一，Coherent 第二，新易盛第三，行业头部位置已经明确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估值共识：</w:t>
      </w:r>
    </w:p>
    <w:p>
      <w:pPr>
        <w:pStyle w:val="ListParagraph"/>
        <w:numPr>
          <w:ilvl w:val="1"/>
          <w:numId w:val="2"/>
        </w:numPr>
      </w:pPr>
      <w:r>
        <w:t xml:space="preserve">市场不再用 TTM 估值看公司。</w:t>
      </w:r>
    </w:p>
    <w:p>
      <w:pPr>
        <w:pStyle w:val="ListParagraph"/>
        <w:numPr>
          <w:ilvl w:val="1"/>
          <w:numId w:val="2"/>
        </w:numPr>
      </w:pPr>
      <w:r>
        <w:t xml:space="preserve">2026E PE 是主估值锚，2027E PE 是弹性估值锚。</w:t>
      </w:r>
    </w:p>
    <w:p>
      <w:pPr>
        <w:pStyle w:val="ListParagraph"/>
        <w:numPr>
          <w:ilvl w:val="1"/>
          <w:numId w:val="2"/>
        </w:numPr>
      </w:pPr>
      <w:r>
        <w:t xml:space="preserve">股价对订单排期、1.6T 份额、NPO/CPO 技术路线变化非常敏感。</w:t>
      </w:r>
    </w:p>
    <w:p>
      <w:pPr>
        <w:pStyle w:val="Heading1"/>
      </w:pPr>
      <w:r>
        <w:t xml:space="preserve">二、Fundamentals：核心竞争力与核心经营变量</w:t>
      </w:r>
    </w:p>
    <w:p>
      <w:pPr>
        <w:pStyle w:val="Heading2"/>
      </w:pPr>
      <w:r>
        <w:t xml:space="preserve">2.1. 核心竞争力：客户绑定、规模交付、产品迭代和供应链锁定</w:t>
      </w:r>
    </w:p>
    <w:p>
      <w:pPr>
        <w:pStyle w:val="Paragraph"/>
        <w:jc w:val="left"/>
      </w:pPr>
      <w:r>
        <w:t xml:space="preserve">中际旭创的核心壁垒不是单一技术专利，而是高速光模块量产体系。光模块行业每一代产品刚起量时，客户真正买的是可靠性、良率、交付稳定性和供应链响应，而不是单纯报价。</w:t>
      </w:r>
    </w:p>
    <w:p>
      <w:pPr>
        <w:pStyle w:val="ListParagraph"/>
        <w:numPr>
          <w:ilvl w:val="0"/>
          <w:numId w:val="2"/>
        </w:numPr>
      </w:pPr>
      <w:r>
        <w:t xml:space="preserve">客户壁垒：</w:t>
      </w:r>
    </w:p>
    <w:p>
      <w:pPr>
        <w:pStyle w:val="ListParagraph"/>
        <w:numPr>
          <w:ilvl w:val="1"/>
          <w:numId w:val="2"/>
        </w:numPr>
      </w:pPr>
      <w:r>
        <w:t xml:space="preserve">北美云厂商和 AI 芯片生态对供应商验证周期长。</w:t>
      </w:r>
    </w:p>
    <w:p>
      <w:pPr>
        <w:pStyle w:val="ListParagraph"/>
        <w:numPr>
          <w:ilvl w:val="1"/>
          <w:numId w:val="2"/>
        </w:numPr>
      </w:pPr>
      <w:r>
        <w:t xml:space="preserve">高速光模块进入客户主供应链后，替换成本高。</w:t>
      </w:r>
    </w:p>
    <w:p>
      <w:pPr>
        <w:pStyle w:val="ListParagraph"/>
        <w:numPr>
          <w:ilvl w:val="1"/>
          <w:numId w:val="2"/>
        </w:numPr>
      </w:pPr>
      <w:r>
        <w:t xml:space="preserve">对 AI 集群而言，模块失效率、功耗、散热和一致性会直接影响整机部署节奏。</w:t>
      </w:r>
    </w:p>
    <w:p>
      <w:pPr>
        <w:pStyle w:val="ListParagraph"/>
        <w:numPr>
          <w:ilvl w:val="0"/>
          <w:numId w:val="2"/>
        </w:numPr>
      </w:pPr>
      <w:r>
        <w:t xml:space="preserve">规模壁垒：</w:t>
      </w:r>
    </w:p>
    <w:p>
      <w:pPr>
        <w:pStyle w:val="ListParagraph"/>
        <w:numPr>
          <w:ilvl w:val="1"/>
          <w:numId w:val="2"/>
        </w:numPr>
      </w:pPr>
      <w:r>
        <w:t xml:space="preserve">2025 年公司光通信模块收入</w:t>
      </w:r>
      <w:r>
        <w:rPr>
          <w:b/>
          <w:bCs/>
        </w:rPr>
        <w:t xml:space="preserve">374.57亿元</w:t>
      </w:r>
      <w:r>
        <w:t xml:space="preserve">，占 FY2025 营收约</w:t>
      </w:r>
      <w:r>
        <w:rPr>
          <w:b/>
          <w:bCs/>
        </w:rPr>
        <w:t xml:space="preserve">97.95%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业务高度聚焦，高景气产品对收入和利润拉动直接。</w:t>
      </w:r>
    </w:p>
    <w:p>
      <w:pPr>
        <w:pStyle w:val="ListParagraph"/>
        <w:numPr>
          <w:ilvl w:val="1"/>
          <w:numId w:val="2"/>
        </w:numPr>
      </w:pPr>
      <w:r>
        <w:t xml:space="preserve">产能、良率、供应链和客户交付经验形成正循环。</w:t>
      </w:r>
    </w:p>
    <w:p>
      <w:pPr>
        <w:pStyle w:val="ListParagraph"/>
        <w:numPr>
          <w:ilvl w:val="0"/>
          <w:numId w:val="2"/>
        </w:numPr>
      </w:pPr>
      <w:r>
        <w:t xml:space="preserve">技术壁垒：</w:t>
      </w:r>
    </w:p>
    <w:p>
      <w:pPr>
        <w:pStyle w:val="ListParagraph"/>
        <w:numPr>
          <w:ilvl w:val="1"/>
          <w:numId w:val="2"/>
        </w:numPr>
      </w:pPr>
      <w:r>
        <w:t xml:space="preserve">公司处在 800G、1.6T、硅光、相干、NPO/CPO 等多路线交汇处。</w:t>
      </w:r>
    </w:p>
    <w:p>
      <w:pPr>
        <w:pStyle w:val="ListParagraph"/>
        <w:numPr>
          <w:ilvl w:val="1"/>
          <w:numId w:val="2"/>
        </w:numPr>
      </w:pPr>
      <w:r>
        <w:t xml:space="preserve">高速产品切换不是简单速率翻倍，而是对 DSP、光芯片、封装、测试、热管理的系统升级。</w:t>
      </w:r>
    </w:p>
    <w:p>
      <w:pPr>
        <w:pStyle w:val="ListParagraph"/>
        <w:numPr>
          <w:ilvl w:val="1"/>
          <w:numId w:val="2"/>
        </w:numPr>
      </w:pPr>
      <w:r>
        <w:t xml:space="preserve">华泰研究指出，800G 向 1.6T 迁移会推动测试设备迭代，速率提升后对损耗和设备精度更敏感</w:t>
      </w:r>
      <w:r>
        <w:t xml:space="preserve">。</w:t>
      </w:r>
    </w:p>
    <w:p>
      <w:pPr>
        <w:pStyle w:val="Heading2"/>
      </w:pPr>
      <w:r>
        <w:t xml:space="preserve">2.2. 核心经营变量：出货量、ASP、毛利率、物料、现金流</w:t>
      </w:r>
    </w:p>
    <w:p>
      <w:pPr>
        <w:pStyle w:val="Paragraph"/>
        <w:jc w:val="left"/>
      </w:pPr>
      <w:r>
        <w:t xml:space="preserve">公司基本面最值得盯的不是收入增速，而是收入增速背后的质量。高速光模块需求强时，利润弹性来自产品结构；但如果上游物料紧、库存扩张、应收增长过快，现金流会先于利润表反映压力。</w:t>
      </w:r>
    </w:p>
    <w:p>
      <w:pPr>
        <w:pStyle w:val="ListParagraph"/>
        <w:numPr>
          <w:ilvl w:val="0"/>
          <w:numId w:val="2"/>
        </w:numPr>
      </w:pPr>
      <w:r>
        <w:t xml:space="preserve">变量一：1.6T 出货节奏。</w:t>
      </w:r>
    </w:p>
    <w:p>
      <w:pPr>
        <w:pStyle w:val="ListParagraph"/>
        <w:numPr>
          <w:ilvl w:val="1"/>
          <w:numId w:val="2"/>
        </w:numPr>
      </w:pPr>
      <w:r>
        <w:t xml:space="preserve">800G 是已兑现产品，1.6T 是 2026-2027 年主要增量。</w:t>
      </w:r>
    </w:p>
    <w:p>
      <w:pPr>
        <w:pStyle w:val="ListParagraph"/>
        <w:numPr>
          <w:ilvl w:val="1"/>
          <w:numId w:val="2"/>
        </w:numPr>
      </w:pPr>
      <w:r>
        <w:t xml:space="preserve">若 1.6T 出货节奏快于市场预期，盈利预测会继续上修。</w:t>
      </w:r>
    </w:p>
    <w:p>
      <w:pPr>
        <w:pStyle w:val="ListParagraph"/>
        <w:numPr>
          <w:ilvl w:val="1"/>
          <w:numId w:val="2"/>
        </w:numPr>
      </w:pPr>
      <w:r>
        <w:t xml:space="preserve">若客户架构切换慢于预期，2027E 利润锚会下修。</w:t>
      </w:r>
    </w:p>
    <w:p>
      <w:pPr>
        <w:pStyle w:val="ListParagraph"/>
        <w:numPr>
          <w:ilvl w:val="0"/>
          <w:numId w:val="2"/>
        </w:numPr>
      </w:pPr>
      <w:r>
        <w:t xml:space="preserve">变量二：毛利率。</w:t>
      </w:r>
    </w:p>
    <w:p>
      <w:pPr>
        <w:pStyle w:val="ListParagraph"/>
        <w:numPr>
          <w:ilvl w:val="1"/>
          <w:numId w:val="2"/>
        </w:numPr>
      </w:pPr>
      <w:r>
        <w:t xml:space="preserve">FY2025 销售毛利率</w:t>
      </w:r>
      <w:r>
        <w:rPr>
          <w:b/>
          <w:bCs/>
        </w:rPr>
        <w:t xml:space="preserve">42.04%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2026Q1 销售毛利率提升至</w:t>
      </w:r>
      <w:r>
        <w:rPr>
          <w:b/>
          <w:bCs/>
        </w:rPr>
        <w:t xml:space="preserve">46.06%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毛利率上行说明高端产品占比、良率和成本控制仍在改善。</w:t>
      </w:r>
    </w:p>
    <w:p>
      <w:pPr>
        <w:pStyle w:val="ListParagraph"/>
        <w:numPr>
          <w:ilvl w:val="0"/>
          <w:numId w:val="2"/>
        </w:numPr>
      </w:pPr>
      <w:r>
        <w:t xml:space="preserve">变量三：库存和应收。</w:t>
      </w:r>
    </w:p>
    <w:p>
      <w:pPr>
        <w:pStyle w:val="ListParagraph"/>
        <w:numPr>
          <w:ilvl w:val="1"/>
          <w:numId w:val="2"/>
        </w:numPr>
      </w:pPr>
      <w:r>
        <w:t xml:space="preserve">2026Q1 应收账款</w:t>
      </w:r>
      <w:r>
        <w:rPr>
          <w:b/>
          <w:bCs/>
        </w:rPr>
        <w:t xml:space="preserve">95.36亿元</w:t>
      </w:r>
      <w:r>
        <w:t xml:space="preserve">，同比</w:t>
      </w:r>
      <w:r>
        <w:rPr>
          <w:b/>
          <w:bCs/>
        </w:rPr>
        <w:t xml:space="preserve">+98.42%</w:t>
      </w:r>
      <w:r>
        <w:t xml:space="preserve">，环比</w:t>
      </w:r>
      <w:r>
        <w:rPr>
          <w:b/>
          <w:bCs/>
        </w:rPr>
        <w:t xml:space="preserve">+51.92%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2026Q1 存货</w:t>
      </w:r>
      <w:r>
        <w:rPr>
          <w:b/>
          <w:bCs/>
        </w:rPr>
        <w:t xml:space="preserve">156.72亿元</w:t>
      </w:r>
      <w:r>
        <w:t xml:space="preserve">，同比</w:t>
      </w:r>
      <w:r>
        <w:rPr>
          <w:b/>
          <w:bCs/>
        </w:rPr>
        <w:t xml:space="preserve">+100.45%</w:t>
      </w:r>
      <w:r>
        <w:t xml:space="preserve">，环比</w:t>
      </w:r>
      <w:r>
        <w:rPr>
          <w:b/>
          <w:bCs/>
        </w:rPr>
        <w:t xml:space="preserve">+23.59%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在高景气周期中，库存可能是主动备料；但一旦需求节奏错配，库存会变成利润表风险。</w:t>
      </w:r>
    </w:p>
    <w:p>
      <w:pPr>
        <w:pStyle w:val="ListParagraph"/>
        <w:numPr>
          <w:ilvl w:val="0"/>
          <w:numId w:val="2"/>
        </w:numPr>
      </w:pPr>
      <w:r>
        <w:t xml:space="preserve">变量四：汇率和套保。</w:t>
      </w:r>
    </w:p>
    <w:p>
      <w:pPr>
        <w:pStyle w:val="ListParagraph"/>
        <w:numPr>
          <w:ilvl w:val="1"/>
          <w:numId w:val="2"/>
        </w:numPr>
      </w:pPr>
      <w:r>
        <w:t xml:space="preserve">公司海外销售和海外采购均涉及美元、欧元等币种。</w:t>
      </w:r>
    </w:p>
    <w:p>
      <w:pPr>
        <w:pStyle w:val="ListParagraph"/>
        <w:numPr>
          <w:ilvl w:val="1"/>
          <w:numId w:val="2"/>
        </w:numPr>
      </w:pPr>
      <w:r>
        <w:t xml:space="preserve">公司公告称开展外汇套期保值业务，以真实贸易背景为前提，使用远期、掉期、期权等工具缩小外汇敞口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汇率风险不是核心矛盾，但会扰动单季净利率和市场情绪。</w:t>
      </w:r>
    </w:p>
    <w:p>
      <w:pPr>
        <w:pStyle w:val="Paragraph"/>
        <w:jc w:val="left"/>
      </w:pPr>
      <w:r>
        <w:t xml:space="preserve">基于累计利润拆分单季利润，可以看到公司利润斜率并未在 2026Q1 断档，反而出现明显跳升。这说明当前市场给公司的定价，不是纯粹讲故事，而是有利润表支撑。</w:t>
      </w:r>
    </w:p>
    <w:p>
      <w:pPr>
        <w:jc w:val="center"/>
      </w:pPr>
      <w:r>
        <w:drawing>
          <wp:inline distT="0" distB="0" distL="0" distR="0">
            <wp:extent cx="5972175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三、Industry：供需格局与竞争格局</w:t>
      </w:r>
    </w:p>
    <w:p>
      <w:pPr>
        <w:pStyle w:val="Heading2"/>
      </w:pPr>
      <w:r>
        <w:t xml:space="preserve">3.1. 供需格局：需求强，但真正瓶颈在上游和高端产能</w:t>
      </w:r>
    </w:p>
    <w:p>
      <w:pPr>
        <w:pStyle w:val="Paragraph"/>
        <w:jc w:val="left"/>
      </w:pPr>
      <w:r>
        <w:t xml:space="preserve">光模块行业当前不是简单“产能扩张就能解决”的周期。800G、1.6T 需求强，但瓶颈分布在上游光芯片、DSP、硅光、测试设备、海外制造和客户认证多个环节。</w:t>
      </w:r>
    </w:p>
    <w:p>
      <w:pPr>
        <w:pStyle w:val="ListParagraph"/>
        <w:numPr>
          <w:ilvl w:val="0"/>
          <w:numId w:val="2"/>
        </w:numPr>
      </w:pPr>
      <w:r>
        <w:t xml:space="preserve">需求端：</w:t>
      </w:r>
    </w:p>
    <w:p>
      <w:pPr>
        <w:pStyle w:val="ListParagraph"/>
        <w:numPr>
          <w:ilvl w:val="1"/>
          <w:numId w:val="2"/>
        </w:numPr>
      </w:pPr>
      <w:r>
        <w:t xml:space="preserve">AI 集群训练和推理规模扩大，带来机柜内、机柜间、数据中心间光互联需求上升。</w:t>
      </w:r>
    </w:p>
    <w:p>
      <w:pPr>
        <w:pStyle w:val="ListParagraph"/>
        <w:numPr>
          <w:ilvl w:val="1"/>
          <w:numId w:val="2"/>
        </w:numPr>
      </w:pPr>
      <w:r>
        <w:t xml:space="preserve">1.6T 在 2026 年起量，2027 年有望成为高端产品主线。</w:t>
      </w:r>
    </w:p>
    <w:p>
      <w:pPr>
        <w:pStyle w:val="ListParagraph"/>
        <w:numPr>
          <w:ilvl w:val="1"/>
          <w:numId w:val="2"/>
        </w:numPr>
      </w:pPr>
      <w:r>
        <w:t xml:space="preserve">机械设备中期策略报告引用 LightCounting 预测称，2026 年 800G 出货量将增长一倍以上，1.6T 将从 2025 年小基数增长至数千万端口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供给端：</w:t>
      </w:r>
    </w:p>
    <w:p>
      <w:pPr>
        <w:pStyle w:val="ListParagraph"/>
        <w:numPr>
          <w:ilvl w:val="1"/>
          <w:numId w:val="2"/>
        </w:numPr>
      </w:pPr>
      <w:r>
        <w:t xml:space="preserve">国内模块厂产能利用率已经处于高位。</w:t>
      </w:r>
    </w:p>
    <w:p>
      <w:pPr>
        <w:pStyle w:val="ListParagraph"/>
        <w:numPr>
          <w:ilvl w:val="1"/>
          <w:numId w:val="2"/>
        </w:numPr>
      </w:pPr>
      <w:r>
        <w:t xml:space="preserve">报告提到，中际旭创和新易盛产能利用率分别可达</w:t>
      </w:r>
      <w:r>
        <w:rPr>
          <w:b/>
          <w:bCs/>
        </w:rPr>
        <w:t xml:space="preserve">85%</w:t>
      </w:r>
      <w:r>
        <w:t xml:space="preserve">、</w:t>
      </w:r>
      <w:r>
        <w:rPr>
          <w:b/>
          <w:bCs/>
        </w:rPr>
        <w:t xml:space="preserve">94%</w:t>
      </w:r>
      <w:r>
        <w:t xml:space="preserve">，当前产能已难以充分满足下游高速扩张需求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海外厂商也在扩产，但高端产品良率、客户认证和交付稳定性不会线性释放。</w:t>
      </w:r>
    </w:p>
    <w:p>
      <w:pPr>
        <w:pStyle w:val="ListParagraph"/>
        <w:numPr>
          <w:ilvl w:val="0"/>
          <w:numId w:val="2"/>
        </w:numPr>
      </w:pPr>
      <w:r>
        <w:t xml:space="preserve">设备端：</w:t>
      </w:r>
    </w:p>
    <w:p>
      <w:pPr>
        <w:pStyle w:val="ListParagraph"/>
        <w:numPr>
          <w:ilvl w:val="1"/>
          <w:numId w:val="2"/>
        </w:numPr>
      </w:pPr>
      <w:r>
        <w:t xml:space="preserve">速率越高，测试设备价值量越高。</w:t>
      </w:r>
    </w:p>
    <w:p>
      <w:pPr>
        <w:pStyle w:val="ListParagraph"/>
        <w:numPr>
          <w:ilvl w:val="1"/>
          <w:numId w:val="2"/>
        </w:numPr>
      </w:pPr>
      <w:r>
        <w:t xml:space="preserve">1.6T、3.2T 对贴片、耦合、键合、测试提出更高精度要求。</w:t>
      </w:r>
    </w:p>
    <w:p>
      <w:pPr>
        <w:pStyle w:val="ListParagraph"/>
        <w:numPr>
          <w:ilvl w:val="1"/>
          <w:numId w:val="2"/>
        </w:numPr>
      </w:pPr>
      <w:r>
        <w:t xml:space="preserve">这意味着高端光模块供给扩张存在非线性瓶颈，不是单纯增加厂房即可解决。</w:t>
      </w:r>
    </w:p>
    <w:p>
      <w:pPr>
        <w:pStyle w:val="Heading2"/>
      </w:pPr>
      <w:r>
        <w:t xml:space="preserve">3.2. 竞争格局：800G 边际松动，1.6T 仍偏头部集中</w:t>
      </w:r>
    </w:p>
    <w:p>
      <w:pPr>
        <w:pStyle w:val="Paragraph"/>
        <w:jc w:val="left"/>
      </w:pPr>
      <w:r>
        <w:t xml:space="preserve">光模块行业过去几年经历了明显的中国厂商崛起。当前中际旭创、新易盛、Coherent 等头部厂商占据高端数通光模块主导位置，二三线厂商可以参与 800G，但要在 1.6T 和 NPO 中拿到核心份额难度更大。</w:t>
      </w:r>
    </w:p>
    <w:p>
      <w:pPr>
        <w:pStyle w:val="ListParagraph"/>
        <w:numPr>
          <w:ilvl w:val="0"/>
          <w:numId w:val="2"/>
        </w:numPr>
      </w:pPr>
      <w:r>
        <w:t xml:space="preserve">800G：</w:t>
      </w:r>
    </w:p>
    <w:p>
      <w:pPr>
        <w:pStyle w:val="ListParagraph"/>
        <w:numPr>
          <w:ilvl w:val="1"/>
          <w:numId w:val="2"/>
        </w:numPr>
      </w:pPr>
      <w:r>
        <w:t xml:space="preserve">技术成熟度提升后，新进入者更容易参与。</w:t>
      </w:r>
    </w:p>
    <w:p>
      <w:pPr>
        <w:pStyle w:val="ListParagraph"/>
        <w:numPr>
          <w:ilvl w:val="1"/>
          <w:numId w:val="2"/>
        </w:numPr>
      </w:pPr>
      <w:r>
        <w:t xml:space="preserve">价格压力和份额波动会逐渐增加。</w:t>
      </w:r>
    </w:p>
    <w:p>
      <w:pPr>
        <w:pStyle w:val="ListParagraph"/>
        <w:numPr>
          <w:ilvl w:val="1"/>
          <w:numId w:val="2"/>
        </w:numPr>
      </w:pPr>
      <w:r>
        <w:t xml:space="preserve">对中际旭创而言，800G 的核心价值从高毛利增量逐渐转为基础盘。</w:t>
      </w:r>
    </w:p>
    <w:p>
      <w:pPr>
        <w:pStyle w:val="ListParagraph"/>
        <w:numPr>
          <w:ilvl w:val="0"/>
          <w:numId w:val="2"/>
        </w:numPr>
      </w:pPr>
      <w:r>
        <w:t xml:space="preserve">1.6T：</w:t>
      </w:r>
    </w:p>
    <w:p>
      <w:pPr>
        <w:pStyle w:val="ListParagraph"/>
        <w:numPr>
          <w:ilvl w:val="1"/>
          <w:numId w:val="2"/>
        </w:numPr>
      </w:pPr>
      <w:r>
        <w:t xml:space="preserve">份额更依赖客户验证、硅光能力、供应链锁定和良率。</w:t>
      </w:r>
    </w:p>
    <w:p>
      <w:pPr>
        <w:pStyle w:val="ListParagraph"/>
        <w:numPr>
          <w:ilvl w:val="1"/>
          <w:numId w:val="2"/>
        </w:numPr>
      </w:pPr>
      <w:r>
        <w:t xml:space="preserve">客户对供应商稳定性的要求更高，头部厂商更占优。</w:t>
      </w:r>
    </w:p>
    <w:p>
      <w:pPr>
        <w:pStyle w:val="ListParagraph"/>
        <w:numPr>
          <w:ilvl w:val="1"/>
          <w:numId w:val="2"/>
        </w:numPr>
      </w:pPr>
      <w:r>
        <w:t xml:space="preserve">若 1.6T 需求维持高景气，中际旭创的利润弹性会显著强于普通模块厂。</w:t>
      </w:r>
    </w:p>
    <w:p>
      <w:pPr>
        <w:pStyle w:val="ListParagraph"/>
        <w:numPr>
          <w:ilvl w:val="0"/>
          <w:numId w:val="2"/>
        </w:numPr>
      </w:pPr>
      <w:r>
        <w:t xml:space="preserve">NPO/CPO：</w:t>
      </w:r>
    </w:p>
    <w:p>
      <w:pPr>
        <w:pStyle w:val="ListParagraph"/>
        <w:numPr>
          <w:ilvl w:val="1"/>
          <w:numId w:val="2"/>
        </w:numPr>
      </w:pPr>
      <w:r>
        <w:t xml:space="preserve">这是下一轮价值链重分配的关键。</w:t>
      </w:r>
    </w:p>
    <w:p>
      <w:pPr>
        <w:pStyle w:val="ListParagraph"/>
        <w:numPr>
          <w:ilvl w:val="1"/>
          <w:numId w:val="2"/>
        </w:numPr>
      </w:pPr>
      <w:r>
        <w:t xml:space="preserve">NPO 如果先起量，模块厂仍能保留较强参与权。</w:t>
      </w:r>
    </w:p>
    <w:p>
      <w:pPr>
        <w:pStyle w:val="ListParagraph"/>
        <w:numPr>
          <w:ilvl w:val="1"/>
          <w:numId w:val="2"/>
        </w:numPr>
      </w:pPr>
      <w:r>
        <w:t xml:space="preserve">CPO 若快速成熟，部分价值可能向交换芯片、系统集成和光引擎环节迁移。</w:t>
      </w:r>
    </w:p>
    <w:p>
      <w:pPr>
        <w:pStyle w:val="Heading1"/>
      </w:pPr>
      <w:r>
        <w:t xml:space="preserve">四、Marginal Change：最近变了什么，哪个变量在拐点</w:t>
      </w:r>
    </w:p>
    <w:p>
      <w:pPr>
        <w:pStyle w:val="Heading2"/>
      </w:pPr>
      <w:r>
        <w:t xml:space="preserve">4.1. 第一处变化：1.6T 从预期交易转为订单和产能交易</w:t>
      </w:r>
    </w:p>
    <w:p>
      <w:pPr>
        <w:pStyle w:val="Paragraph"/>
        <w:jc w:val="left"/>
      </w:pPr>
      <w:r>
        <w:t xml:space="preserve">过去市场交易的是 800G 高景气，现在交易的是 1.6T 能否持续放量到 2027 年。这个变化很关键，因为 1.6T 不只是速率升级，还对应更高 ASP、更高技术门槛和更深客户绑定。</w:t>
      </w:r>
    </w:p>
    <w:p>
      <w:pPr>
        <w:pStyle w:val="ListParagraph"/>
        <w:numPr>
          <w:ilvl w:val="0"/>
          <w:numId w:val="2"/>
        </w:numPr>
      </w:pPr>
      <w:r>
        <w:t xml:space="preserve">需求可见度提升：</w:t>
      </w:r>
    </w:p>
    <w:p>
      <w:pPr>
        <w:pStyle w:val="ListParagraph"/>
        <w:numPr>
          <w:ilvl w:val="1"/>
          <w:numId w:val="2"/>
        </w:numPr>
      </w:pPr>
      <w:r>
        <w:t xml:space="preserve">北美 CSP 的算力建设仍在上修。</w:t>
      </w:r>
    </w:p>
    <w:p>
      <w:pPr>
        <w:pStyle w:val="ListParagraph"/>
        <w:numPr>
          <w:ilvl w:val="1"/>
          <w:numId w:val="2"/>
        </w:numPr>
      </w:pPr>
      <w:r>
        <w:t xml:space="preserve">1.6T 已经从“下一代产品”变成 2026-2027 年主要增量。</w:t>
      </w:r>
    </w:p>
    <w:p>
      <w:pPr>
        <w:pStyle w:val="ListParagraph"/>
        <w:numPr>
          <w:ilvl w:val="1"/>
          <w:numId w:val="2"/>
        </w:numPr>
      </w:pPr>
      <w:r>
        <w:t xml:space="preserve">上游产能锁定、客户加单和设备扩产共同提高需求可信度。</w:t>
      </w:r>
    </w:p>
    <w:p>
      <w:pPr>
        <w:pStyle w:val="ListParagraph"/>
        <w:numPr>
          <w:ilvl w:val="0"/>
          <w:numId w:val="2"/>
        </w:numPr>
      </w:pPr>
      <w:r>
        <w:t xml:space="preserve">供给约束强化：</w:t>
      </w:r>
    </w:p>
    <w:p>
      <w:pPr>
        <w:pStyle w:val="ListParagraph"/>
        <w:numPr>
          <w:ilvl w:val="1"/>
          <w:numId w:val="2"/>
        </w:numPr>
      </w:pPr>
      <w:r>
        <w:t xml:space="preserve">光芯片、DSP、测试设备和高端封装能力成为制约。</w:t>
      </w:r>
    </w:p>
    <w:p>
      <w:pPr>
        <w:pStyle w:val="ListParagraph"/>
        <w:numPr>
          <w:ilvl w:val="1"/>
          <w:numId w:val="2"/>
        </w:numPr>
      </w:pPr>
      <w:r>
        <w:t xml:space="preserve">供给瓶颈越强，头部厂商越容易拿到超额利润。</w:t>
      </w:r>
    </w:p>
    <w:p>
      <w:pPr>
        <w:pStyle w:val="ListParagraph"/>
        <w:numPr>
          <w:ilvl w:val="1"/>
          <w:numId w:val="2"/>
        </w:numPr>
      </w:pPr>
      <w:r>
        <w:t xml:space="preserve">但供给瓶颈也会带来库存、预付款和现金流压力。</w:t>
      </w:r>
    </w:p>
    <w:p>
      <w:pPr>
        <w:pStyle w:val="ListParagraph"/>
        <w:numPr>
          <w:ilvl w:val="0"/>
          <w:numId w:val="2"/>
        </w:numPr>
      </w:pPr>
      <w:r>
        <w:t xml:space="preserve">估值锚切换：</w:t>
      </w:r>
    </w:p>
    <w:p>
      <w:pPr>
        <w:pStyle w:val="ListParagraph"/>
        <w:numPr>
          <w:ilvl w:val="1"/>
          <w:numId w:val="2"/>
        </w:numPr>
      </w:pPr>
      <w:r>
        <w:t xml:space="preserve">市场已经不满足于 FY2025 和 2026Q1 的利润兑现。</w:t>
      </w:r>
    </w:p>
    <w:p>
      <w:pPr>
        <w:pStyle w:val="ListParagraph"/>
        <w:numPr>
          <w:ilvl w:val="1"/>
          <w:numId w:val="2"/>
        </w:numPr>
      </w:pPr>
      <w:r>
        <w:t xml:space="preserve">股价真正反映的是 2027E 利润是否会继续上修。</w:t>
      </w:r>
    </w:p>
    <w:p>
      <w:pPr>
        <w:pStyle w:val="ListParagraph"/>
        <w:numPr>
          <w:ilvl w:val="1"/>
          <w:numId w:val="2"/>
        </w:numPr>
      </w:pPr>
      <w:r>
        <w:t xml:space="preserve">这也是为什么短期 PE 看起来不高，但股价波动仍会很大。</w:t>
      </w:r>
    </w:p>
    <w:p>
      <w:pPr>
        <w:pStyle w:val="Heading2"/>
      </w:pPr>
      <w:r>
        <w:t xml:space="preserve">4.2. 第二处变化：毛利率拐点仍在上行，但现金流压力开始需要跟踪</w:t>
      </w:r>
    </w:p>
    <w:p>
      <w:pPr>
        <w:pStyle w:val="Paragraph"/>
        <w:jc w:val="left"/>
      </w:pPr>
      <w:r>
        <w:t xml:space="preserve">2026Q1 毛利率达到</w:t>
      </w:r>
      <w:r>
        <w:rPr>
          <w:b/>
          <w:bCs/>
        </w:rPr>
        <w:t xml:space="preserve">46.06%</w:t>
      </w:r>
      <w:r>
        <w:t xml:space="preserve">，较 FY2025 的</w:t>
      </w:r>
      <w:r>
        <w:rPr>
          <w:b/>
          <w:bCs/>
        </w:rPr>
        <w:t xml:space="preserve">42.04%</w:t>
      </w:r>
      <w:r>
        <w:t xml:space="preserve">继续上行。这个信号偏正面，说明产品结构和良率改善仍在释放利润弹性。</w:t>
      </w:r>
    </w:p>
    <w:p>
      <w:pPr>
        <w:pStyle w:val="ListParagraph"/>
        <w:numPr>
          <w:ilvl w:val="0"/>
          <w:numId w:val="2"/>
        </w:numPr>
      </w:pPr>
      <w:r>
        <w:t xml:space="preserve">正面信号：</w:t>
      </w:r>
    </w:p>
    <w:p>
      <w:pPr>
        <w:pStyle w:val="ListParagraph"/>
        <w:numPr>
          <w:ilvl w:val="1"/>
          <w:numId w:val="2"/>
        </w:numPr>
      </w:pPr>
      <w:r>
        <w:t xml:space="preserve">1.6T、高端 800G、硅光占比提升有助于毛利率。</w:t>
      </w:r>
    </w:p>
    <w:p>
      <w:pPr>
        <w:pStyle w:val="ListParagraph"/>
        <w:numPr>
          <w:ilvl w:val="1"/>
          <w:numId w:val="2"/>
        </w:numPr>
      </w:pPr>
      <w:r>
        <w:t xml:space="preserve">规模效应和良率提升仍在推动利润率上行。</w:t>
      </w:r>
    </w:p>
    <w:p>
      <w:pPr>
        <w:pStyle w:val="ListParagraph"/>
        <w:numPr>
          <w:ilvl w:val="1"/>
          <w:numId w:val="2"/>
        </w:numPr>
      </w:pPr>
      <w:r>
        <w:t xml:space="preserve">2026Q1 净利率约</w:t>
      </w:r>
      <w:r>
        <w:rPr>
          <w:b/>
          <w:bCs/>
        </w:rPr>
        <w:t xml:space="preserve">29.41%</w:t>
      </w:r>
      <w:r>
        <w:t xml:space="preserve">，盈利质量强。</w:t>
      </w:r>
    </w:p>
    <w:p>
      <w:pPr>
        <w:pStyle w:val="ListParagraph"/>
        <w:numPr>
          <w:ilvl w:val="0"/>
          <w:numId w:val="2"/>
        </w:numPr>
      </w:pPr>
      <w:r>
        <w:t xml:space="preserve">压力信号：</w:t>
      </w:r>
    </w:p>
    <w:p>
      <w:pPr>
        <w:pStyle w:val="ListParagraph"/>
        <w:numPr>
          <w:ilvl w:val="1"/>
          <w:numId w:val="2"/>
        </w:numPr>
      </w:pPr>
      <w:r>
        <w:t xml:space="preserve">存货和应收同步高增。</w:t>
      </w:r>
    </w:p>
    <w:p>
      <w:pPr>
        <w:pStyle w:val="ListParagraph"/>
        <w:numPr>
          <w:ilvl w:val="1"/>
          <w:numId w:val="2"/>
        </w:numPr>
      </w:pPr>
      <w:r>
        <w:t xml:space="preserve">2026Q1 存货</w:t>
      </w:r>
      <w:r>
        <w:rPr>
          <w:b/>
          <w:bCs/>
        </w:rPr>
        <w:t xml:space="preserve">156.72亿元</w:t>
      </w:r>
      <w:r>
        <w:t xml:space="preserve">，已经超过 FY2025 归母净利润。</w:t>
      </w:r>
    </w:p>
    <w:p>
      <w:pPr>
        <w:pStyle w:val="ListParagraph"/>
        <w:numPr>
          <w:ilvl w:val="1"/>
          <w:numId w:val="2"/>
        </w:numPr>
      </w:pPr>
      <w:r>
        <w:t xml:space="preserve">高景气期主动备货合理，但库存周转一旦放慢，市场会快速切换到“景气见顶”交易。</w:t>
      </w:r>
    </w:p>
    <w:p>
      <w:pPr>
        <w:pStyle w:val="ListParagraph"/>
        <w:numPr>
          <w:ilvl w:val="0"/>
          <w:numId w:val="2"/>
        </w:numPr>
      </w:pPr>
      <w:r>
        <w:t xml:space="preserve">判断：</w:t>
      </w:r>
    </w:p>
    <w:p>
      <w:pPr>
        <w:pStyle w:val="ListParagraph"/>
        <w:numPr>
          <w:ilvl w:val="1"/>
          <w:numId w:val="2"/>
        </w:numPr>
      </w:pPr>
      <w:r>
        <w:t xml:space="preserve">当前不能简单把库存增长理解为积压。</w:t>
      </w:r>
    </w:p>
    <w:p>
      <w:pPr>
        <w:pStyle w:val="ListParagraph"/>
        <w:numPr>
          <w:ilvl w:val="1"/>
          <w:numId w:val="2"/>
        </w:numPr>
      </w:pPr>
      <w:r>
        <w:t xml:space="preserve">但库存和应收已经成为最重要的资产负债表观察变量。</w:t>
      </w:r>
    </w:p>
    <w:p>
      <w:pPr>
        <w:pStyle w:val="ListParagraph"/>
        <w:numPr>
          <w:ilvl w:val="1"/>
          <w:numId w:val="2"/>
        </w:numPr>
      </w:pPr>
      <w:r>
        <w:t xml:space="preserve">如果 2026Q2-Q3 收入继续高增且毛利率稳定，库存高增会被市场视为订单准备；反之会引发杀估值。</w:t>
      </w:r>
    </w:p>
    <w:p>
      <w:pPr>
        <w:pStyle w:val="Heading2"/>
      </w:pPr>
      <w:r>
        <w:t xml:space="preserve">4.3. 第三处变化：NPO/CPO 从主题炒作转向估值期限问题</w:t>
      </w:r>
    </w:p>
    <w:p>
      <w:pPr>
        <w:pStyle w:val="Paragraph"/>
        <w:jc w:val="left"/>
      </w:pPr>
      <w:r>
        <w:t xml:space="preserve">NPO/CPO 的重要性不在短期收入占比，而在于它决定中际旭创能否把“模块交付能力”延伸到“系统级光互联参与权”。</w:t>
      </w:r>
    </w:p>
    <w:p>
      <w:pPr>
        <w:pStyle w:val="ListParagraph"/>
        <w:numPr>
          <w:ilvl w:val="0"/>
          <w:numId w:val="2"/>
        </w:numPr>
      </w:pPr>
      <w:r>
        <w:t xml:space="preserve">NPO 的意义：</w:t>
      </w:r>
    </w:p>
    <w:p>
      <w:pPr>
        <w:pStyle w:val="ListParagraph"/>
        <w:numPr>
          <w:ilvl w:val="1"/>
          <w:numId w:val="2"/>
        </w:numPr>
      </w:pPr>
      <w:r>
        <w:t xml:space="preserve">更靠近板级和系统设计。</w:t>
      </w:r>
    </w:p>
    <w:p>
      <w:pPr>
        <w:pStyle w:val="ListParagraph"/>
        <w:numPr>
          <w:ilvl w:val="1"/>
          <w:numId w:val="2"/>
        </w:numPr>
      </w:pPr>
      <w:r>
        <w:t xml:space="preserve">有望降低功耗，提高互联密度。</w:t>
      </w:r>
    </w:p>
    <w:p>
      <w:pPr>
        <w:pStyle w:val="ListParagraph"/>
        <w:numPr>
          <w:ilvl w:val="1"/>
          <w:numId w:val="2"/>
        </w:numPr>
      </w:pPr>
      <w:r>
        <w:t xml:space="preserve">如果 NPO 在 2027 年规模化，中际旭创的估值窗口会被拉长。</w:t>
      </w:r>
    </w:p>
    <w:p>
      <w:pPr>
        <w:pStyle w:val="ListParagraph"/>
        <w:numPr>
          <w:ilvl w:val="0"/>
          <w:numId w:val="2"/>
        </w:numPr>
      </w:pPr>
      <w:r>
        <w:t xml:space="preserve">CPO 的争议：</w:t>
      </w:r>
    </w:p>
    <w:p>
      <w:pPr>
        <w:pStyle w:val="ListParagraph"/>
        <w:numPr>
          <w:ilvl w:val="1"/>
          <w:numId w:val="2"/>
        </w:numPr>
      </w:pPr>
      <w:r>
        <w:t xml:space="preserve">CPO 理论上集成度更高，但良率、散热、运维和可维护性仍是约束。</w:t>
      </w:r>
    </w:p>
    <w:p>
      <w:pPr>
        <w:pStyle w:val="ListParagraph"/>
        <w:numPr>
          <w:ilvl w:val="1"/>
          <w:numId w:val="2"/>
        </w:numPr>
      </w:pPr>
      <w:r>
        <w:t xml:space="preserve">如果 CPO 推进慢，NPO 和可插拔方案会继续吃到过渡期红利。</w:t>
      </w:r>
    </w:p>
    <w:p>
      <w:pPr>
        <w:pStyle w:val="ListParagraph"/>
        <w:numPr>
          <w:ilvl w:val="1"/>
          <w:numId w:val="2"/>
        </w:numPr>
      </w:pPr>
      <w:r>
        <w:t xml:space="preserve">如果 CPO 突破快，传统模块厂的价值链位置需要重估。</w:t>
      </w:r>
    </w:p>
    <w:p>
      <w:pPr>
        <w:pStyle w:val="ListParagraph"/>
        <w:numPr>
          <w:ilvl w:val="0"/>
          <w:numId w:val="2"/>
        </w:numPr>
      </w:pPr>
      <w:r>
        <w:t xml:space="preserve">市场真正关心的变量：</w:t>
      </w:r>
    </w:p>
    <w:p>
      <w:pPr>
        <w:pStyle w:val="ListParagraph"/>
        <w:numPr>
          <w:ilvl w:val="1"/>
          <w:numId w:val="2"/>
        </w:numPr>
      </w:pPr>
      <w:r>
        <w:t xml:space="preserve">不是公司有没有 NPO/CPO 储备。</w:t>
      </w:r>
    </w:p>
    <w:p>
      <w:pPr>
        <w:pStyle w:val="ListParagraph"/>
        <w:numPr>
          <w:ilvl w:val="1"/>
          <w:numId w:val="2"/>
        </w:numPr>
      </w:pPr>
      <w:r>
        <w:t xml:space="preserve">而是能否拿到头部客户的真实订单和量产份额。</w:t>
      </w:r>
    </w:p>
    <w:p>
      <w:pPr>
        <w:pStyle w:val="ListParagraph"/>
        <w:numPr>
          <w:ilvl w:val="1"/>
          <w:numId w:val="2"/>
        </w:numPr>
      </w:pPr>
      <w:r>
        <w:t xml:space="preserve">这个变量是 2027 年估值的核心 alpha 来源。</w:t>
      </w:r>
    </w:p>
    <w:p>
      <w:pPr>
        <w:pStyle w:val="Heading1"/>
      </w:pPr>
      <w:r>
        <w:t xml:space="preserve">五、Valuation：怎么估值，贵在哪里</w:t>
      </w:r>
    </w:p>
    <w:p>
      <w:pPr>
        <w:pStyle w:val="Heading2"/>
      </w:pPr>
      <w:r>
        <w:t xml:space="preserve">5.1. 估值方法：不能用 TTM，看 2026E 和 2027E 利润锚</w:t>
      </w:r>
    </w:p>
    <w:p>
      <w:pPr>
        <w:pStyle w:val="Paragraph"/>
        <w:jc w:val="left"/>
      </w:pPr>
      <w:r>
        <w:t xml:space="preserve">中际旭创当前处在利润高速爬坡期，TTM PE 会严重滞后。更合理的做法是用前瞻利润估值，并对 2027 年利润做情景折现。</w:t>
      </w:r>
    </w:p>
    <w:p>
      <w:pPr>
        <w:pStyle w:val="Paragraph"/>
        <w:jc w:val="left"/>
      </w:pPr>
      <w:r>
        <w:t xml:space="preserve">估值公式很直接：</w:t>
      </w:r>
    </w:p>
    <w:p>
      <w:pPr>
        <w:pStyle w:val="Paragraph"/>
        <w:jc w:val="left"/>
      </w:pPr>
      <w:r>
        <w:t xml:space="preserve">Forward PE=总市值预测归母净利润\text{Forward PE} = \frac{\text{总市值}}{\text{预测归母净利润}}
Forward PE=预测归母净利润总市值​</w:t>
      </w:r>
    </w:p>
    <w:p>
      <w:pPr>
        <w:pStyle w:val="Paragraph"/>
        <w:jc w:val="left"/>
      </w:pPr>
      <w:r>
        <w:t xml:space="preserve">按查询口径，股价</w:t>
      </w:r>
      <w:r>
        <w:rPr>
          <w:b/>
          <w:bCs/>
        </w:rPr>
        <w:t xml:space="preserve">526.58元</w:t>
      </w:r>
      <w:r>
        <w:t xml:space="preserve">，总股本</w:t>
      </w:r>
      <w:r>
        <w:rPr>
          <w:b/>
          <w:bCs/>
        </w:rPr>
        <w:t xml:space="preserve">11.0381亿股</w:t>
      </w:r>
      <w:r>
        <w:t xml:space="preserve">，总市值</w:t>
      </w:r>
      <w:r>
        <w:rPr>
          <w:b/>
          <w:bCs/>
        </w:rPr>
        <w:t xml:space="preserve">5,812.43亿元</w:t>
      </w:r>
      <w:r>
        <w:t xml:space="preserve">。基于 2026 年机构预测归母净利润中值</w:t>
      </w:r>
      <w:r>
        <w:rPr>
          <w:b/>
          <w:bCs/>
        </w:rPr>
        <w:t xml:space="preserve">291.33亿元</w:t>
      </w:r>
      <w:r>
        <w:t xml:space="preserve">，对应 2026E PE 约</w:t>
      </w:r>
      <w:r>
        <w:rPr>
          <w:b/>
          <w:bCs/>
        </w:rPr>
        <w:t xml:space="preserve">19.95x</w:t>
      </w:r>
      <w:r>
        <w:t xml:space="preserve">。</w:t>
      </w:r>
    </w:p>
    <w:tbl>
      <w:tblPr>
        <w:tblStyle w:val="Table"/>
        <w:tblW w:type="dxa" w:w="9025"/>
        <w:jc w:val="center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D9D9D9" w:color="e6e6e6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指标</w:t>
            </w:r>
          </w:p>
        </w:tc>
        <w:tc>
          <w:tcPr>
            <w:gridSpan w:val="1"/>
            <w:shd w:fill="D9D9D9" w:color="e6e6e6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数值</w:t>
            </w:r>
          </w:p>
        </w:tc>
        <w:tc>
          <w:tcPr>
            <w:gridSpan w:val="1"/>
            <w:shd w:fill="D9D9D9" w:color="e6e6e6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备注</w:t>
            </w:r>
          </w:p>
        </w:tc>
      </w:tr>
      <w:tr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股价</w:t>
            </w:r>
          </w:p>
        </w:tc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526.58元</w:t>
            </w:r>
          </w:p>
        </w:tc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行情需复核</w:t>
            </w:r>
          </w:p>
        </w:tc>
      </w:tr>
      <w:tr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总市值</w:t>
            </w:r>
          </w:p>
        </w:tc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5,812.43亿元</w:t>
            </w:r>
          </w:p>
        </w:tc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查询口径</w:t>
            </w:r>
          </w:p>
        </w:tc>
      </w:tr>
      <w:tr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2026E净利</w:t>
            </w:r>
          </w:p>
        </w:tc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291.33亿元</w:t>
            </w:r>
          </w:p>
        </w:tc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机构中值</w:t>
            </w:r>
          </w:p>
        </w:tc>
      </w:tr>
      <w:tr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2026E PE</w:t>
            </w:r>
          </w:p>
        </w:tc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19.95x</w:t>
            </w:r>
          </w:p>
        </w:tc>
        <w:tc>
          <w:tcPr>
            <w:gridSpan w:val="1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前瞻口径</w:t>
            </w:r>
          </w:p>
        </w:tc>
      </w:tr>
    </w:tbl>
    <w:p>
      <w:pPr>
        <w:pStyle w:val="Heading2"/>
      </w:pPr>
      <w:r>
        <w:t xml:space="preserve">5.2. 如果切到 2027E，估值表面不贵，但隐含前提很强</w:t>
      </w:r>
    </w:p>
    <w:p>
      <w:pPr>
        <w:pStyle w:val="Paragraph"/>
        <w:jc w:val="left"/>
      </w:pPr>
      <w:r>
        <w:t xml:space="preserve">按已披露机构样本测算，2027E 归母净利润中值约</w:t>
      </w:r>
      <w:r>
        <w:rPr>
          <w:b/>
          <w:bCs/>
        </w:rPr>
        <w:t xml:space="preserve">561.37亿元</w:t>
      </w:r>
      <w:r>
        <w:t xml:space="preserve">，对应 2027E PE 约</w:t>
      </w:r>
      <w:r>
        <w:rPr>
          <w:b/>
          <w:bCs/>
        </w:rPr>
        <w:t xml:space="preserve">10.35x</w:t>
      </w:r>
      <w:r>
        <w:t xml:space="preserve">。这就是市场愿意继续看中际旭创的核心原因：只要 2027 年利润可信，当前市值并没有显著泡沫化。</w:t>
      </w:r>
    </w:p>
    <w:p>
      <w:pPr>
        <w:jc w:val="center"/>
      </w:pPr>
      <w:r>
        <w:drawing>
          <wp:inline distT="0" distB="0" distL="0" distR="0">
            <wp:extent cx="5972175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便宜的地方：</w:t>
      </w:r>
    </w:p>
    <w:p>
      <w:pPr>
        <w:pStyle w:val="ListParagraph"/>
        <w:numPr>
          <w:ilvl w:val="1"/>
          <w:numId w:val="2"/>
        </w:numPr>
      </w:pPr>
      <w:r>
        <w:t xml:space="preserve">若 2026E 净利</w:t>
      </w:r>
      <w:r>
        <w:rPr>
          <w:b/>
          <w:bCs/>
        </w:rPr>
        <w:t xml:space="preserve">291.33亿元</w:t>
      </w:r>
      <w:r>
        <w:t xml:space="preserve">兑现，20x 左右 PE 对应高增长龙头并不贵。</w:t>
      </w:r>
    </w:p>
    <w:p>
      <w:pPr>
        <w:pStyle w:val="ListParagraph"/>
        <w:numPr>
          <w:ilvl w:val="1"/>
          <w:numId w:val="2"/>
        </w:numPr>
      </w:pPr>
      <w:r>
        <w:t xml:space="preserve">若 2027E 净利接近</w:t>
      </w:r>
      <w:r>
        <w:rPr>
          <w:b/>
          <w:bCs/>
        </w:rPr>
        <w:t xml:space="preserve">560亿元</w:t>
      </w:r>
      <w:r>
        <w:t xml:space="preserve">，10x 左右 PE 具备明显吸引力。</w:t>
      </w:r>
    </w:p>
    <w:p>
      <w:pPr>
        <w:pStyle w:val="ListParagraph"/>
        <w:numPr>
          <w:ilvl w:val="1"/>
          <w:numId w:val="2"/>
        </w:numPr>
      </w:pPr>
      <w:r>
        <w:t xml:space="preserve">行业供给瓶颈和客户集中有利于龙头维持利润率。</w:t>
      </w:r>
    </w:p>
    <w:p>
      <w:pPr>
        <w:pStyle w:val="ListParagraph"/>
        <w:numPr>
          <w:ilvl w:val="0"/>
          <w:numId w:val="2"/>
        </w:numPr>
      </w:pPr>
      <w:r>
        <w:t xml:space="preserve">贵的地方：</w:t>
      </w:r>
    </w:p>
    <w:p>
      <w:pPr>
        <w:pStyle w:val="ListParagraph"/>
        <w:numPr>
          <w:ilvl w:val="1"/>
          <w:numId w:val="2"/>
        </w:numPr>
      </w:pPr>
      <w:r>
        <w:t xml:space="preserve">当前估值已经默认 2026 年高增长不是一次性。</w:t>
      </w:r>
    </w:p>
    <w:p>
      <w:pPr>
        <w:pStyle w:val="ListParagraph"/>
        <w:numPr>
          <w:ilvl w:val="1"/>
          <w:numId w:val="2"/>
        </w:numPr>
      </w:pPr>
      <w:r>
        <w:t xml:space="preserve">市场已经把 2027 年 1.6T 和新技术路线一定程度计入。</w:t>
      </w:r>
    </w:p>
    <w:p>
      <w:pPr>
        <w:pStyle w:val="ListParagraph"/>
        <w:numPr>
          <w:ilvl w:val="1"/>
          <w:numId w:val="2"/>
        </w:numPr>
      </w:pPr>
      <w:r>
        <w:t xml:space="preserve">一旦订单节奏、毛利率、库存周转或技术路线低于预期，估值会从 2027E PE 快速切回 2026E PE，形成杀估值。</w:t>
      </w:r>
    </w:p>
    <w:p>
      <w:pPr>
        <w:pStyle w:val="ListParagraph"/>
        <w:numPr>
          <w:ilvl w:val="0"/>
          <w:numId w:val="2"/>
        </w:numPr>
      </w:pPr>
      <w:r>
        <w:t xml:space="preserve">估值口径冲突提示：</w:t>
      </w:r>
    </w:p>
    <w:p>
      <w:pPr>
        <w:pStyle w:val="ListParagraph"/>
        <w:numPr>
          <w:ilvl w:val="1"/>
          <w:numId w:val="2"/>
        </w:numPr>
      </w:pPr>
      <w:r>
        <w:t xml:space="preserve">查询中不同行情口径对 PE TTM 存在差异。</w:t>
      </w:r>
    </w:p>
    <w:p>
      <w:pPr>
        <w:pStyle w:val="ListParagraph"/>
        <w:numPr>
          <w:ilvl w:val="1"/>
          <w:numId w:val="2"/>
        </w:numPr>
      </w:pPr>
      <w:r>
        <w:t xml:space="preserve">按总市值</w:t>
      </w:r>
      <w:r>
        <w:rPr>
          <w:b/>
          <w:bCs/>
        </w:rPr>
        <w:t xml:space="preserve">5,812.43亿元</w:t>
      </w:r>
      <w:r>
        <w:t xml:space="preserve">和 TTM 归母净利润</w:t>
      </w:r>
      <w:r>
        <w:rPr>
          <w:b/>
          <w:bCs/>
        </w:rPr>
        <w:t xml:space="preserve">149.49亿元</w:t>
      </w:r>
      <w:r>
        <w:t xml:space="preserve">手算，PE TTM 约</w:t>
      </w:r>
      <w:r>
        <w:rPr>
          <w:b/>
          <w:bCs/>
        </w:rPr>
        <w:t xml:space="preserve">38.88x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另有行情快照显示 PE TTM 为</w:t>
      </w:r>
      <w:r>
        <w:rPr>
          <w:b/>
          <w:bCs/>
        </w:rPr>
        <w:t xml:space="preserve">29.47x</w:t>
      </w:r>
      <w:r>
        <w:t xml:space="preserve">，差异可能来自股本、利润口径或行情时点不同；因此估值判断优先使用“市值 / 前瞻净利润”。</w:t>
      </w:r>
    </w:p>
    <w:p>
      <w:pPr>
        <w:pStyle w:val="Heading1"/>
      </w:pPr>
      <w:r>
        <w:t xml:space="preserve">六、Risk / Alpha：风险是什么，市场忽视了什么</w:t>
      </w:r>
    </w:p>
    <w:p>
      <w:pPr>
        <w:pStyle w:val="Heading2"/>
      </w:pPr>
      <w:r>
        <w:t xml:space="preserve">6.1. 核心风险：不是需求有没有，而是兑现节奏、利润率和技术路线</w:t>
      </w:r>
    </w:p>
    <w:p>
      <w:pPr>
        <w:pStyle w:val="Paragraph"/>
        <w:jc w:val="left"/>
      </w:pPr>
      <w:r>
        <w:t xml:space="preserve">中际旭创最大的风险不是 AI 算力需求突然消失，而是市场对 2027 年盈利和份额的预期过满。一旦边际变量不再上修，股价会先反映预期差。</w:t>
      </w:r>
    </w:p>
    <w:p>
      <w:pPr>
        <w:pStyle w:val="ListParagraph"/>
        <w:numPr>
          <w:ilvl w:val="0"/>
          <w:numId w:val="2"/>
        </w:numPr>
      </w:pPr>
      <w:r>
        <w:t xml:space="preserve">风险一：1.6T 放量低于预期。</w:t>
      </w:r>
    </w:p>
    <w:p>
      <w:pPr>
        <w:pStyle w:val="ListParagraph"/>
        <w:numPr>
          <w:ilvl w:val="1"/>
          <w:numId w:val="2"/>
        </w:numPr>
      </w:pPr>
      <w:r>
        <w:t xml:space="preserve">客户资本开支节奏变化会影响订单。</w:t>
      </w:r>
    </w:p>
    <w:p>
      <w:pPr>
        <w:pStyle w:val="ListParagraph"/>
        <w:numPr>
          <w:ilvl w:val="1"/>
          <w:numId w:val="2"/>
        </w:numPr>
      </w:pPr>
      <w:r>
        <w:t xml:space="preserve">网络架构切换若延后，2027E 利润锚会下修。</w:t>
      </w:r>
    </w:p>
    <w:p>
      <w:pPr>
        <w:pStyle w:val="ListParagraph"/>
        <w:numPr>
          <w:ilvl w:val="1"/>
          <w:numId w:val="2"/>
        </w:numPr>
      </w:pPr>
      <w:r>
        <w:t xml:space="preserve">上游物料紧缺也可能导致收入确认递延。</w:t>
      </w:r>
    </w:p>
    <w:p>
      <w:pPr>
        <w:pStyle w:val="ListParagraph"/>
        <w:numPr>
          <w:ilvl w:val="0"/>
          <w:numId w:val="2"/>
        </w:numPr>
      </w:pPr>
      <w:r>
        <w:t xml:space="preserve">风险二：毛利率高位回落。</w:t>
      </w:r>
    </w:p>
    <w:p>
      <w:pPr>
        <w:pStyle w:val="ListParagraph"/>
        <w:numPr>
          <w:ilvl w:val="1"/>
          <w:numId w:val="2"/>
        </w:numPr>
      </w:pPr>
      <w:r>
        <w:t xml:space="preserve">高速模块新产品早期毛利高，但竞争跟进后 ASP 会下行。</w:t>
      </w:r>
    </w:p>
    <w:p>
      <w:pPr>
        <w:pStyle w:val="ListParagraph"/>
        <w:numPr>
          <w:ilvl w:val="1"/>
          <w:numId w:val="2"/>
        </w:numPr>
      </w:pPr>
      <w:r>
        <w:t xml:space="preserve">若价格下降快于良率改善，利润率会被压缩。</w:t>
      </w:r>
    </w:p>
    <w:p>
      <w:pPr>
        <w:pStyle w:val="ListParagraph"/>
        <w:numPr>
          <w:ilvl w:val="1"/>
          <w:numId w:val="2"/>
        </w:numPr>
      </w:pPr>
      <w:r>
        <w:t xml:space="preserve">800G 竞争松动是中期毛利率压力来源。</w:t>
      </w:r>
    </w:p>
    <w:p>
      <w:pPr>
        <w:pStyle w:val="ListParagraph"/>
        <w:numPr>
          <w:ilvl w:val="0"/>
          <w:numId w:val="2"/>
        </w:numPr>
      </w:pPr>
      <w:r>
        <w:t xml:space="preserve">风险三：库存和应收扩张。</w:t>
      </w:r>
    </w:p>
    <w:p>
      <w:pPr>
        <w:pStyle w:val="ListParagraph"/>
        <w:numPr>
          <w:ilvl w:val="1"/>
          <w:numId w:val="2"/>
        </w:numPr>
      </w:pPr>
      <w:r>
        <w:t xml:space="preserve">2026Q1 存货和应收均接近翻倍增长。</w:t>
      </w:r>
    </w:p>
    <w:p>
      <w:pPr>
        <w:pStyle w:val="ListParagraph"/>
        <w:numPr>
          <w:ilvl w:val="1"/>
          <w:numId w:val="2"/>
        </w:numPr>
      </w:pPr>
      <w:r>
        <w:t xml:space="preserve">只要订单持续兑现，这是主动备货。</w:t>
      </w:r>
    </w:p>
    <w:p>
      <w:pPr>
        <w:pStyle w:val="ListParagraph"/>
        <w:numPr>
          <w:ilvl w:val="1"/>
          <w:numId w:val="2"/>
        </w:numPr>
      </w:pPr>
      <w:r>
        <w:t xml:space="preserve">若需求节奏错配，则会变成减值、现金流和市场信心问题。</w:t>
      </w:r>
    </w:p>
    <w:p>
      <w:pPr>
        <w:pStyle w:val="ListParagraph"/>
        <w:numPr>
          <w:ilvl w:val="0"/>
          <w:numId w:val="2"/>
        </w:numPr>
      </w:pPr>
      <w:r>
        <w:t xml:space="preserve">风险四：汇率扰动。</w:t>
      </w:r>
    </w:p>
    <w:p>
      <w:pPr>
        <w:pStyle w:val="ListParagraph"/>
        <w:numPr>
          <w:ilvl w:val="1"/>
          <w:numId w:val="2"/>
        </w:numPr>
      </w:pPr>
      <w:r>
        <w:t xml:space="preserve">公司公告明确外汇套保业务存在汇率波动、内部控制、交易违约和收付款预测风险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公司已建立套保制度，并仅与合法资质的大型银行等金融机构开展业务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汇率不会改变产业趋势，但会影响单季利润和市场交易情绪。</w:t>
      </w:r>
    </w:p>
    <w:p>
      <w:pPr>
        <w:pStyle w:val="Heading2"/>
      </w:pPr>
      <w:r>
        <w:t xml:space="preserve">6.2. 市场可能忽视的 Alpha：龙头的“供给约束红利”可能持续更久</w:t>
      </w:r>
    </w:p>
    <w:p>
      <w:pPr>
        <w:pStyle w:val="Paragraph"/>
        <w:jc w:val="left"/>
      </w:pPr>
      <w:r>
        <w:t xml:space="preserve">市场容易把光模块当成典型硬件周期，担心每一代产品都会迅速价格战。但 1.6T、NPO、CPO 阶段的供给约束比 400G、800G 更复杂，头部厂商的超额利润可能持续时间更长。</w:t>
      </w:r>
    </w:p>
    <w:p>
      <w:pPr>
        <w:pStyle w:val="ListParagraph"/>
        <w:numPr>
          <w:ilvl w:val="0"/>
          <w:numId w:val="2"/>
        </w:numPr>
      </w:pPr>
      <w:r>
        <w:t xml:space="preserve">Alpha 一：高端产能不是通用产能。</w:t>
      </w:r>
    </w:p>
    <w:p>
      <w:pPr>
        <w:pStyle w:val="ListParagraph"/>
        <w:numPr>
          <w:ilvl w:val="1"/>
          <w:numId w:val="2"/>
        </w:numPr>
      </w:pPr>
      <w:r>
        <w:t xml:space="preserve">高速模块拼的是客户认证、良率、交付和物料锁定。</w:t>
      </w:r>
    </w:p>
    <w:p>
      <w:pPr>
        <w:pStyle w:val="ListParagraph"/>
        <w:numPr>
          <w:ilvl w:val="1"/>
          <w:numId w:val="2"/>
        </w:numPr>
      </w:pPr>
      <w:r>
        <w:t xml:space="preserve">低端产能扩张不会直接冲击 1.6T 高端份额。</w:t>
      </w:r>
    </w:p>
    <w:p>
      <w:pPr>
        <w:pStyle w:val="ListParagraph"/>
        <w:numPr>
          <w:ilvl w:val="1"/>
          <w:numId w:val="2"/>
        </w:numPr>
      </w:pPr>
      <w:r>
        <w:t xml:space="preserve">产能利用率高位强化了头部厂商议价能力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Alpha 二：NPO 延长模块厂估值窗口。</w:t>
      </w:r>
    </w:p>
    <w:p>
      <w:pPr>
        <w:pStyle w:val="ListParagraph"/>
        <w:numPr>
          <w:ilvl w:val="1"/>
          <w:numId w:val="2"/>
        </w:numPr>
      </w:pPr>
      <w:r>
        <w:t xml:space="preserve">如果 NPO 先于 CPO 起量，传统模块厂不会立刻被系统厂挤压。</w:t>
      </w:r>
    </w:p>
    <w:p>
      <w:pPr>
        <w:pStyle w:val="ListParagraph"/>
        <w:numPr>
          <w:ilvl w:val="1"/>
          <w:numId w:val="2"/>
        </w:numPr>
      </w:pPr>
      <w:r>
        <w:t xml:space="preserve">中际旭创有机会从模块供应商向光互联系统参与者迁移。</w:t>
      </w:r>
    </w:p>
    <w:p>
      <w:pPr>
        <w:pStyle w:val="ListParagraph"/>
        <w:numPr>
          <w:ilvl w:val="1"/>
          <w:numId w:val="2"/>
        </w:numPr>
      </w:pPr>
      <w:r>
        <w:t xml:space="preserve">这会提升市场给 2027-2028 年利润的可持续性折现。</w:t>
      </w:r>
    </w:p>
    <w:p>
      <w:pPr>
        <w:pStyle w:val="ListParagraph"/>
        <w:numPr>
          <w:ilvl w:val="0"/>
          <w:numId w:val="2"/>
        </w:numPr>
      </w:pPr>
      <w:r>
        <w:t xml:space="preserve">Alpha 三：财报兑现速度可能继续压制空头逻辑。</w:t>
      </w:r>
    </w:p>
    <w:p>
      <w:pPr>
        <w:pStyle w:val="ListParagraph"/>
        <w:numPr>
          <w:ilvl w:val="1"/>
          <w:numId w:val="2"/>
        </w:numPr>
      </w:pPr>
      <w:r>
        <w:t xml:space="preserve">2026Q1 单季净利</w:t>
      </w:r>
      <w:r>
        <w:rPr>
          <w:b/>
          <w:bCs/>
        </w:rPr>
        <w:t xml:space="preserve">57.35亿元</w:t>
      </w:r>
      <w:r>
        <w:t xml:space="preserve">，同比</w:t>
      </w:r>
      <w:r>
        <w:rPr>
          <w:b/>
          <w:bCs/>
        </w:rPr>
        <w:t xml:space="preserve">+262.28%</w:t>
      </w:r>
      <w:r>
        <w:t xml:space="preserve">。</w:t>
      </w:r>
    </w:p>
    <w:p>
      <w:pPr>
        <w:pStyle w:val="ListParagraph"/>
        <w:numPr>
          <w:ilvl w:val="1"/>
          <w:numId w:val="2"/>
        </w:numPr>
      </w:pPr>
      <w:r>
        <w:t xml:space="preserve">单季毛利率</w:t>
      </w:r>
      <w:r>
        <w:rPr>
          <w:b/>
          <w:bCs/>
        </w:rPr>
        <w:t xml:space="preserve">46.06%</w:t>
      </w:r>
      <w:r>
        <w:t xml:space="preserve">，高于 FY2025 全年。</w:t>
      </w:r>
    </w:p>
    <w:p>
      <w:pPr>
        <w:pStyle w:val="ListParagraph"/>
        <w:numPr>
          <w:ilvl w:val="1"/>
          <w:numId w:val="2"/>
        </w:numPr>
      </w:pPr>
      <w:r>
        <w:t xml:space="preserve">只要后续季度收入和利润继续环比抬升，市场对“周期见顶”的担忧会被延后。</w:t>
      </w:r>
    </w:p>
    <w:p>
      <w:pPr>
        <w:pStyle w:val="Heading1"/>
      </w:pPr>
      <w:r>
        <w:t xml:space="preserve">结论</w:t>
      </w:r>
    </w:p>
    <w:p>
      <w:pPr>
        <w:pStyle w:val="Paragraph"/>
        <w:jc w:val="left"/>
      </w:pPr>
      <w:r>
        <w:t xml:space="preserve">中际旭创当前的投资问题不是“是不是好公司”，而是“2027 年利润锚是否足够可信”。从基本面看，FY2025 到 2026Q1 的业绩已经证明公司不是纯概念交易；从行业看，800G、1.6T、NPO/CPO 的需求和供给约束仍支持龙头获得超额收益。</w:t>
      </w:r>
    </w:p>
    <w:p>
      <w:pPr>
        <w:pStyle w:val="Paragraph"/>
        <w:jc w:val="left"/>
      </w:pPr>
      <w:r>
        <w:t xml:space="preserve">但这类资产的风险也很清楚：估值表面不贵，是建立在 2026E、2027E 利润持续兑现之上。一旦 1.6T 放量、毛利率、库存周转或 NPO/CPO 订单出现低于预期，市场会从“远期高成长”迅速切回“硬件周期股”，估值压缩会很快。</w:t>
      </w:r>
    </w:p>
    <w:p>
      <w:pPr>
        <w:pStyle w:val="Paragraph"/>
        <w:jc w:val="left"/>
      </w:pPr>
      <w:r>
        <w:t xml:space="preserve">当前更合理的观察框架是：短期看</w:t>
      </w:r>
      <w:r>
        <w:rPr>
          <w:b/>
          <w:bCs/>
        </w:rPr>
        <w:t xml:space="preserve">2026Q2-Q3 收入和毛利率能否延续高斜率</w:t>
      </w:r>
      <w:r>
        <w:t xml:space="preserve">，中期看</w:t>
      </w:r>
      <w:r>
        <w:rPr>
          <w:b/>
          <w:bCs/>
        </w:rPr>
        <w:t xml:space="preserve">1.6T 份额和 ASP 下行速度</w:t>
      </w:r>
      <w:r>
        <w:t xml:space="preserve">，长期看</w:t>
      </w:r>
      <w:r>
        <w:rPr>
          <w:b/>
          <w:bCs/>
        </w:rPr>
        <w:t xml:space="preserve">NPO/CPO 是否让中际旭创留在下一代光互联价值链核心位置</w:t>
      </w:r>
      <w:r>
        <w:t xml:space="preserve">。这三个变量如果继续向上，公司仍有 alpha；若其中两个同时转弱，就要警惕戴维斯双杀。</w:t>
      </w:r>
    </w:p>
    <w:p>
      <w:pPr>
        <w:jc w:val="center"/>
      </w:pPr>
      <w:r>
        <w:t xml:space="preserve">(注：文档部分内容可能由 AI 生成)</w:t>
      </w:r>
    </w:p>
    <w:sectPr>
      <w:headerReference w:type="default" r:id="rId6"/>
      <w:footerReference w:type="default" r:id="rId7"/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/>
      <w:jc w:val="center"/>
    </w:pPr>
    <w:r>
      <w:rPr>
        <w:sz w:val="13"/>
        <w:szCs w:val="13"/>
      </w:rPr>
      <w:t xml:space="preserve">进门-领先的机构AI投研工作台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1"/>
      </w:pBdr>
      <w:jc w:val="center"/>
    </w:pPr>
    <w:r>
      <w:rPr>
        <w:sz w:val="13"/>
        <w:szCs w:val="13"/>
      </w:rPr>
      <w:t xml:space="preserve">AI进宝-超级投研智能体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24pt" w:hanging="24pt"/>
      </w:pPr>
    </w:lvl>
    <w:lvl w:ilvl="1" w15:tentative="1">
      <w:start w:val="1"/>
      <w:numFmt w:val="lowerLetter"/>
      <w:lvlText w:val="%2."/>
      <w:lvlJc w:val="start"/>
      <w:pPr>
        <w:ind w:start="46pt" w:hanging="24pt"/>
      </w:pPr>
    </w:lvl>
    <w:lvl w:ilvl="2" w15:tentative="1">
      <w:start w:val="1"/>
      <w:numFmt w:val="upperRoman"/>
      <w:lvlText w:val="%3."/>
      <w:lvlJc w:val="start"/>
      <w:pPr>
        <w:ind w:start="69pt" w:hanging="24pt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start="24pt" w:hanging="24pt"/>
      </w:pPr>
      <w:rPr>
        <w:sz w:val="14"/>
        <w:szCs w:val="14"/>
      </w:rPr>
    </w:lvl>
    <w:lvl w:ilvl="1" w15:tentative="1">
      <w:start w:val="1"/>
      <w:numFmt w:val="bullet"/>
      <w:lvlText w:val="○"/>
      <w:lvlJc w:val="left"/>
      <w:pPr>
        <w:ind w:start="48pt" w:hanging="24pt"/>
      </w:pPr>
      <w:rPr>
        <w:sz w:val="14"/>
        <w:szCs w:val="14"/>
      </w:rPr>
    </w:lvl>
    <w:lvl w:ilvl="2" w15:tentative="1">
      <w:start w:val="1"/>
      <w:numFmt w:val="bullet"/>
      <w:lvlText w:val="■"/>
      <w:lvlJc w:val="left"/>
      <w:pPr>
        <w:ind w:start="72pt" w:hanging="24pt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仿宋_GB2312" w:cs="仿宋_GB2312" w:eastAsia="仿宋_GB2312" w:hAnsi="仿宋_GB2312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480" w:after="240" w:line="400"/>
    </w:pPr>
    <w:rPr>
      <w:rFonts w:ascii="仿宋_GB2312" w:cs="仿宋_GB2312" w:eastAsia="仿宋_GB2312" w:hAnsi="仿宋_GB2312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仿宋_GB2312" w:cs="仿宋_GB2312" w:eastAsia="仿宋_GB2312" w:hAnsi="仿宋_GB2312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仿宋_GB2312" w:cs="仿宋_GB2312" w:eastAsia="仿宋_GB2312" w:hAnsi="仿宋_GB2312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00"/>
    </w:pPr>
    <w:rPr>
      <w:rFonts w:ascii="仿宋_GB2312" w:cs="仿宋_GB2312" w:eastAsia="仿宋_GB2312" w:hAnsi="仿宋_GB2312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40" w:after="100"/>
    </w:pPr>
    <w:rPr>
      <w:rFonts w:ascii="仿宋_GB2312" w:cs="仿宋_GB2312" w:eastAsia="仿宋_GB2312" w:hAnsi="仿宋_GB2312"/>
      <w:b/>
      <w:bCs/>
      <w:sz w:val="24"/>
      <w:szCs w:val="24"/>
    </w:rPr>
  </w:style>
  <w:style w:type="paragraph" w:styleId="Normal">
    <w:name w:val="Normal"/>
    <w:next w:val="Normal"/>
    <w:qFormat/>
    <w:pPr>
      <w:spacing w:line="288"/>
      <w:jc w:val="left"/>
    </w:pPr>
    <w:rPr>
      <w:rFonts w:ascii="仿宋_GB2312" w:cs="仿宋_GB2312" w:eastAsia="仿宋_GB2312" w:hAnsi="仿宋_GB2312"/>
      <w:sz w:val="24"/>
      <w:szCs w:val="24"/>
    </w:rPr>
  </w:style>
  <w:style w:type="paragraph" w:styleId="Paragraph">
    <w:name w:val="Paragraph"/>
    <w:basedOn w:val="Normal"/>
    <w:pPr>
      <w:spacing w:line="288"/>
      <w:ind/>
    </w:pPr>
    <w:rPr>
      <w:rFonts w:ascii="仿宋_GB2312" w:cs="仿宋_GB2312" w:eastAsia="仿宋_GB2312" w:hAnsi="仿宋_GB2312"/>
      <w:sz w:val="24"/>
      <w:szCs w:val="24"/>
    </w:rPr>
  </w:style>
  <w:style w:type="paragraph" w:styleId="Table">
    <w:name w:val="Table"/>
    <w:basedOn w:val="Normal"/>
    <w:pPr>
      <w:spacing w:before="80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748d1ff16d3f1714bd9ff121df068ee72316955.undefined"/><Relationship Id="rId9" Type="http://schemas.openxmlformats.org/officeDocument/2006/relationships/image" Target="media/d5b35581066878ee6e49a7c435eac5d70ea73506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300308.SZ公司研究框架及信息源规则</dc:title>
  <dc:creator>Un-named</dc:creator>
  <cp:lastModifiedBy>Un-named</cp:lastModifiedBy>
  <cp:revision>1</cp:revision>
  <dcterms:created xsi:type="dcterms:W3CDTF">2026-06-21T06:23:01.411Z</dcterms:created>
  <dcterms:modified xsi:type="dcterms:W3CDTF">2026-06-21T06:23:01.411Z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