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Assignment 3 Charis Aletraris</w:t>
      </w:r>
    </w:p>
    <w:p>
      <w:pPr>
        <w:pStyle w:val="Heading2"/>
        <w:keepNext/>
        <w:spacing w:after="180"/>
      </w:pPr>
      <w:r>
        <w:t>Exercise 1 model comparison and selection</w:t>
      </w:r>
    </w:p>
    <w:p>
      <w:pPr>
        <w:spacing w:after="140" w:line="254" w:lineRule="auto"/>
      </w:pPr>
      <w:r>
        <w:rPr>
          <w:rFonts w:ascii="Calibri" w:hAnsi="Calibri"/>
          <w:b w:val="0"/>
          <w:sz w:val="22"/>
        </w:rPr>
        <w:t>I compared SimpleRNN, GRU and LSTM networks with 1, 2 and 3 recurrent layers. Each of the nine experiments ran for 15 epochs on the same data split. I selected the 3-layer GRU: at epoch 3 it achieved both the highest validation accuracy, 89.38%, and the lowest validation binary cross-entropy, 0.2724, across the nine experiments. Test results were not used for this choice.</w:t>
      </w:r>
    </w:p>
    <w:p>
      <w:pPr>
        <w:keepNext/>
        <w:spacing w:after="140" w:line="254" w:lineRule="auto"/>
      </w:pPr>
      <w:r>
        <w:rPr>
          <w:rFonts w:ascii="Calibri" w:hAnsi="Calibri"/>
          <w:b/>
          <w:sz w:val="22"/>
        </w:rPr>
        <w:t>Best accuracy reached by each model family</w:t>
      </w:r>
    </w:p>
    <w:tbl>
      <w:tblPr>
        <w:tblW w:type="auto" w:w="0"/>
        <w:tblLayout w:type="fixed"/>
        <w:tblLook w:firstColumn="1" w:firstRow="1" w:lastColumn="0" w:lastRow="0" w:noHBand="0" w:noVBand="1" w:val="04A0"/>
      </w:tblPr>
      <w:tblGrid>
        <w:gridCol w:w="1512"/>
        <w:gridCol w:w="864"/>
        <w:gridCol w:w="864"/>
        <w:gridCol w:w="2592"/>
        <w:gridCol w:w="2448"/>
      </w:tblGrid>
      <w:tr>
        <w:trPr>
          <w:cantSplit/>
          <w:tblHeader/>
        </w:trPr>
        <w:tc>
          <w:tcPr>
            <w:tcW w:type="dxa" w:w="151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Model</w:t>
            </w:r>
          </w:p>
        </w:tc>
        <w:tc>
          <w:tcPr>
            <w:tcW w:type="dxa" w:w="8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Layers</w:t>
            </w:r>
          </w:p>
        </w:tc>
        <w:tc>
          <w:tcPr>
            <w:tcW w:type="dxa" w:w="8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Epoch</w:t>
            </w:r>
          </w:p>
        </w:tc>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Validation accuracy</w:t>
            </w:r>
          </w:p>
        </w:tc>
        <w:tc>
          <w:tcPr>
            <w:tcW w:type="dxa" w:w="2448"/>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Loss at that epoch</w:t>
            </w:r>
          </w:p>
        </w:tc>
      </w:tr>
      <w:tr>
        <w:trPr>
          <w:cantSplit/>
        </w:trPr>
        <w:tc>
          <w:tcPr>
            <w:tcW w:type="dxa" w:w="151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SimpleRNN</w:t>
            </w:r>
          </w:p>
        </w:tc>
        <w:tc>
          <w:tcPr>
            <w:tcW w:type="dxa" w:w="8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1</w:t>
            </w:r>
          </w:p>
        </w:tc>
        <w:tc>
          <w:tcPr>
            <w:tcW w:type="dxa" w:w="8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4</w:t>
            </w:r>
          </w:p>
        </w:tc>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87.72%</w:t>
            </w:r>
          </w:p>
        </w:tc>
        <w:tc>
          <w:tcPr>
            <w:tcW w:type="dxa" w:w="2448"/>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0.3522</w:t>
            </w:r>
          </w:p>
        </w:tc>
      </w:tr>
      <w:tr>
        <w:trPr>
          <w:cantSplit/>
        </w:trPr>
        <w:tc>
          <w:tcPr>
            <w:tcW w:type="dxa" w:w="151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GRU</w:t>
            </w:r>
          </w:p>
        </w:tc>
        <w:tc>
          <w:tcPr>
            <w:tcW w:type="dxa" w:w="8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3</w:t>
            </w:r>
          </w:p>
        </w:tc>
        <w:tc>
          <w:tcPr>
            <w:tcW w:type="dxa" w:w="8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3</w:t>
            </w:r>
          </w:p>
        </w:tc>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89.38%</w:t>
            </w:r>
          </w:p>
        </w:tc>
        <w:tc>
          <w:tcPr>
            <w:tcW w:type="dxa" w:w="2448"/>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0.2724</w:t>
            </w:r>
          </w:p>
        </w:tc>
      </w:tr>
      <w:tr>
        <w:trPr>
          <w:cantSplit/>
        </w:trPr>
        <w:tc>
          <w:tcPr>
            <w:tcW w:type="dxa" w:w="151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LSTM</w:t>
            </w:r>
          </w:p>
        </w:tc>
        <w:tc>
          <w:tcPr>
            <w:tcW w:type="dxa" w:w="8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2</w:t>
            </w:r>
          </w:p>
        </w:tc>
        <w:tc>
          <w:tcPr>
            <w:tcW w:type="dxa" w:w="8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2</w:t>
            </w:r>
          </w:p>
        </w:tc>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88.90%</w:t>
            </w:r>
          </w:p>
        </w:tc>
        <w:tc>
          <w:tcPr>
            <w:tcW w:type="dxa" w:w="2448"/>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0.2727</w:t>
            </w:r>
          </w:p>
        </w:tc>
      </w:tr>
    </w:tbl>
    <w:p>
      <w:pPr>
        <w:spacing w:after="140" w:line="254" w:lineRule="auto"/>
      </w:pPr>
      <w:r>
        <w:rPr>
          <w:rFonts w:ascii="Calibri" w:hAnsi="Calibri"/>
          <w:b w:val="0"/>
          <w:sz w:val="22"/>
        </w:rPr>
        <w:t>Each row shows the highest validation accuracy in that family and the loss measured at the same epoch. It does not combine accuracy from one epoch with loss from another. For SimpleRNN, its lowest loss was instead 0.3248 at epoch 3, with 86.42% accuracy. The two class labels remain negative and positive; layers describe the depth of the network.</w:t>
      </w:r>
    </w:p>
    <w:p>
      <w:pPr>
        <w:keepNext/>
        <w:spacing w:after="140" w:line="254" w:lineRule="auto"/>
      </w:pPr>
      <w:r>
        <w:rPr>
          <w:rFonts w:ascii="Calibri" w:hAnsi="Calibri"/>
          <w:b/>
          <w:sz w:val="22"/>
        </w:rPr>
        <w:t>Main values shared by all experiments</w:t>
      </w:r>
    </w:p>
    <w:tbl>
      <w:tblPr>
        <w:tblW w:type="auto" w:w="0"/>
        <w:tblLayout w:type="fixed"/>
        <w:tblLook w:firstColumn="1" w:firstRow="1" w:lastColumn="0" w:lastRow="0" w:noHBand="0" w:noVBand="1" w:val="04A0"/>
      </w:tblPr>
      <w:tblGrid>
        <w:gridCol w:w="1656"/>
        <w:gridCol w:w="2664"/>
        <w:gridCol w:w="4565"/>
      </w:tblGrid>
      <w:tr>
        <w:trPr>
          <w:cantSplit/>
          <w:tblHeader/>
        </w:trPr>
        <w:tc>
          <w:tcPr>
            <w:tcW w:type="dxa" w:w="165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Setting</w:t>
            </w:r>
          </w:p>
        </w:tc>
        <w:tc>
          <w:tcPr>
            <w:tcW w:type="dxa" w:w="26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Value</w:t>
            </w:r>
          </w:p>
        </w:tc>
        <w:tc>
          <w:tcPr>
            <w:tcW w:type="dxa" w:w="456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Purpose</w:t>
            </w:r>
          </w:p>
        </w:tc>
      </w:tr>
      <w:tr>
        <w:trPr>
          <w:cantSplit/>
        </w:trPr>
        <w:tc>
          <w:tcPr>
            <w:tcW w:type="dxa" w:w="165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Data split</w:t>
            </w:r>
          </w:p>
        </w:tc>
        <w:tc>
          <w:tcPr>
            <w:tcW w:type="dxa" w:w="26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70% / 10% / 20%</w:t>
            </w:r>
          </w:p>
        </w:tc>
        <w:tc>
          <w:tcPr>
            <w:tcW w:type="dxa" w:w="456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35,000 training, 5,000 validation and 10,000 test reviews; balanced classes and seed 42.</w:t>
            </w:r>
          </w:p>
        </w:tc>
      </w:tr>
      <w:tr>
        <w:trPr>
          <w:cantSplit/>
        </w:trPr>
        <w:tc>
          <w:tcPr>
            <w:tcW w:type="dxa" w:w="165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Input</w:t>
            </w:r>
          </w:p>
        </w:tc>
        <w:tc>
          <w:tcPr>
            <w:tcW w:type="dxa" w:w="26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10,000 IDs; 500 tokens</w:t>
            </w:r>
          </w:p>
        </w:tc>
        <w:tc>
          <w:tcPr>
            <w:tcW w:type="dxa" w:w="456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Uses the assignment vocabulary limit and review length; retains the last 500 tokens.</w:t>
            </w:r>
          </w:p>
        </w:tc>
      </w:tr>
      <w:tr>
        <w:trPr>
          <w:cantSplit/>
        </w:trPr>
        <w:tc>
          <w:tcPr>
            <w:tcW w:type="dxa" w:w="165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Embedding</w:t>
            </w:r>
          </w:p>
        </w:tc>
        <w:tc>
          <w:tcPr>
            <w:tcW w:type="dxa" w:w="26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32 dimensions</w:t>
            </w:r>
          </w:p>
        </w:tc>
        <w:tc>
          <w:tcPr>
            <w:tcW w:type="dxa" w:w="456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Learns a compact vector for each word ID; zero padding is masked.</w:t>
            </w:r>
          </w:p>
        </w:tc>
      </w:tr>
      <w:tr>
        <w:trPr>
          <w:cantSplit/>
        </w:trPr>
        <w:tc>
          <w:tcPr>
            <w:tcW w:type="dxa" w:w="165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Recurrent layers</w:t>
            </w:r>
          </w:p>
        </w:tc>
        <w:tc>
          <w:tcPr>
            <w:tcW w:type="dxa" w:w="26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1, 2 or 3; 32 units each</w:t>
            </w:r>
          </w:p>
        </w:tc>
        <w:tc>
          <w:tcPr>
            <w:tcW w:type="dxa" w:w="456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Changes model type and depth while keeping the width fixed.</w:t>
            </w:r>
          </w:p>
        </w:tc>
      </w:tr>
      <w:tr>
        <w:trPr>
          <w:cantSplit/>
        </w:trPr>
        <w:tc>
          <w:tcPr>
            <w:tcW w:type="dxa" w:w="165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Training</w:t>
            </w:r>
          </w:p>
        </w:tc>
        <w:tc>
          <w:tcPr>
            <w:tcW w:type="dxa" w:w="26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15 epochs; batch size 128</w:t>
            </w:r>
          </w:p>
        </w:tc>
        <w:tc>
          <w:tcPr>
            <w:tcW w:type="dxa" w:w="456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Gives every candidate the same epoch budget and batch size.</w:t>
            </w:r>
          </w:p>
        </w:tc>
      </w:tr>
      <w:tr>
        <w:trPr>
          <w:cantSplit/>
        </w:trPr>
        <w:tc>
          <w:tcPr>
            <w:tcW w:type="dxa" w:w="165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Optimizer</w:t>
            </w:r>
          </w:p>
        </w:tc>
        <w:tc>
          <w:tcPr>
            <w:tcW w:type="dxa" w:w="26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Adam; learning rate 0.001</w:t>
            </w:r>
          </w:p>
        </w:tc>
        <w:tc>
          <w:tcPr>
            <w:tcW w:type="dxa" w:w="456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Uses adaptive weight updates with a conventional starting learning rate.</w:t>
            </w:r>
          </w:p>
        </w:tc>
      </w:tr>
      <w:tr>
        <w:trPr>
          <w:cantSplit/>
        </w:trPr>
        <w:tc>
          <w:tcPr>
            <w:tcW w:type="dxa" w:w="165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Gradient clipping</w:t>
            </w:r>
          </w:p>
        </w:tc>
        <w:tc>
          <w:tcPr>
            <w:tcW w:type="dxa" w:w="26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Norm limit 1.0</w:t>
            </w:r>
          </w:p>
        </w:tc>
        <w:tc>
          <w:tcPr>
            <w:tcW w:type="dxa" w:w="456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Limits excessively large updates; it does not solve vanishing gradients.</w:t>
            </w:r>
          </w:p>
        </w:tc>
      </w:tr>
      <w:tr>
        <w:trPr>
          <w:cantSplit/>
        </w:trPr>
        <w:tc>
          <w:tcPr>
            <w:tcW w:type="dxa" w:w="165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Output and loss</w:t>
            </w:r>
          </w:p>
        </w:tc>
        <w:tc>
          <w:tcPr>
            <w:tcW w:type="dxa" w:w="26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1 sigmoid; binary cross-entropy</w:t>
            </w:r>
          </w:p>
        </w:tc>
        <w:tc>
          <w:tcPr>
            <w:tcW w:type="dxa" w:w="456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Predicts positive sentiment probability; threshold 0.5 gives the class.</w:t>
            </w:r>
          </w:p>
        </w:tc>
      </w:tr>
    </w:tbl>
    <w:p>
      <w:pPr>
        <w:spacing w:after="140" w:line="254" w:lineRule="auto"/>
      </w:pPr>
      <w:r>
        <w:rPr>
          <w:rFonts w:ascii="Calibri" w:hAnsi="Calibri"/>
          <w:b w:val="0"/>
          <w:sz w:val="22"/>
        </w:rPr>
        <w:t>These are practical starting values, not proven optimal settings. No dropout or extra regularization was added. Parameter counts differ between models, so this compares architectures at fixed width and training settings, not at equal capacity or equal computation.</w:t>
      </w:r>
    </w:p>
    <w:p>
      <w:r>
        <w:br w:type="page"/>
      </w:r>
    </w:p>
    <w:p>
      <w:pPr>
        <w:pStyle w:val="Heading2"/>
        <w:keepNext/>
        <w:spacing w:after="180"/>
      </w:pPr>
      <w:r>
        <w:t>Why the three layer GRU was selected</w:t>
      </w:r>
    </w:p>
    <w:p>
      <w:pPr>
        <w:keepNext/>
        <w:spacing w:after="140" w:line="254" w:lineRule="auto"/>
      </w:pPr>
      <w:r>
        <w:rPr>
          <w:rFonts w:ascii="Calibri" w:hAnsi="Calibri"/>
          <w:b/>
          <w:sz w:val="22"/>
        </w:rPr>
        <w:t>Results for every model and depth</w:t>
      </w:r>
    </w:p>
    <w:tbl>
      <w:tblPr>
        <w:tblW w:type="auto" w:w="0"/>
        <w:tblLayout w:type="fixed"/>
        <w:tblLook w:firstColumn="1" w:firstRow="1" w:lastColumn="0" w:lastRow="0" w:noHBand="0" w:noVBand="1" w:val="04A0"/>
      </w:tblPr>
      <w:tblGrid>
        <w:gridCol w:w="1440"/>
        <w:gridCol w:w="864"/>
        <w:gridCol w:w="1584"/>
        <w:gridCol w:w="1944"/>
        <w:gridCol w:w="864"/>
        <w:gridCol w:w="1584"/>
      </w:tblGrid>
      <w:tr>
        <w:trPr>
          <w:cantSplit/>
          <w:tblHeader/>
        </w:trPr>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Model</w:t>
            </w:r>
          </w:p>
        </w:tc>
        <w:tc>
          <w:tcPr>
            <w:tcW w:type="dxa" w:w="8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Layers</w:t>
            </w:r>
          </w:p>
        </w:tc>
        <w:tc>
          <w:tcPr>
            <w:tcW w:type="dxa" w:w="158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Parameters</w:t>
            </w:r>
          </w:p>
        </w:tc>
        <w:tc>
          <w:tcPr>
            <w:tcW w:type="dxa" w:w="194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Best accuracy</w:t>
            </w:r>
          </w:p>
        </w:tc>
        <w:tc>
          <w:tcPr>
            <w:tcW w:type="dxa" w:w="8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Epoch</w:t>
            </w:r>
          </w:p>
        </w:tc>
        <w:tc>
          <w:tcPr>
            <w:tcW w:type="dxa" w:w="158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Related loss</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SimpleRNN</w:t>
            </w:r>
          </w:p>
        </w:tc>
        <w:tc>
          <w:tcPr>
            <w:tcW w:type="dxa" w:w="8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1</w:t>
            </w:r>
          </w:p>
        </w:tc>
        <w:tc>
          <w:tcPr>
            <w:tcW w:type="dxa" w:w="158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322,113</w:t>
            </w:r>
          </w:p>
        </w:tc>
        <w:tc>
          <w:tcPr>
            <w:tcW w:type="dxa" w:w="194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87.72%</w:t>
            </w:r>
          </w:p>
        </w:tc>
        <w:tc>
          <w:tcPr>
            <w:tcW w:type="dxa" w:w="8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4</w:t>
            </w:r>
          </w:p>
        </w:tc>
        <w:tc>
          <w:tcPr>
            <w:tcW w:type="dxa" w:w="158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0.3522</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SimpleRNN</w:t>
            </w:r>
          </w:p>
        </w:tc>
        <w:tc>
          <w:tcPr>
            <w:tcW w:type="dxa" w:w="8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2</w:t>
            </w:r>
          </w:p>
        </w:tc>
        <w:tc>
          <w:tcPr>
            <w:tcW w:type="dxa" w:w="158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324,193</w:t>
            </w:r>
          </w:p>
        </w:tc>
        <w:tc>
          <w:tcPr>
            <w:tcW w:type="dxa" w:w="194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84.96%</w:t>
            </w:r>
          </w:p>
        </w:tc>
        <w:tc>
          <w:tcPr>
            <w:tcW w:type="dxa" w:w="8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1</w:t>
            </w:r>
          </w:p>
        </w:tc>
        <w:tc>
          <w:tcPr>
            <w:tcW w:type="dxa" w:w="158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0.3752</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SimpleRNN</w:t>
            </w:r>
          </w:p>
        </w:tc>
        <w:tc>
          <w:tcPr>
            <w:tcW w:type="dxa" w:w="8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3</w:t>
            </w:r>
          </w:p>
        </w:tc>
        <w:tc>
          <w:tcPr>
            <w:tcW w:type="dxa" w:w="158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326,273</w:t>
            </w:r>
          </w:p>
        </w:tc>
        <w:tc>
          <w:tcPr>
            <w:tcW w:type="dxa" w:w="194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85.58%</w:t>
            </w:r>
          </w:p>
        </w:tc>
        <w:tc>
          <w:tcPr>
            <w:tcW w:type="dxa" w:w="8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1</w:t>
            </w:r>
          </w:p>
        </w:tc>
        <w:tc>
          <w:tcPr>
            <w:tcW w:type="dxa" w:w="158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0.3656</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GRU</w:t>
            </w:r>
          </w:p>
        </w:tc>
        <w:tc>
          <w:tcPr>
            <w:tcW w:type="dxa" w:w="8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1</w:t>
            </w:r>
          </w:p>
        </w:tc>
        <w:tc>
          <w:tcPr>
            <w:tcW w:type="dxa" w:w="158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326,369</w:t>
            </w:r>
          </w:p>
        </w:tc>
        <w:tc>
          <w:tcPr>
            <w:tcW w:type="dxa" w:w="194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89.12%</w:t>
            </w:r>
          </w:p>
        </w:tc>
        <w:tc>
          <w:tcPr>
            <w:tcW w:type="dxa" w:w="8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9</w:t>
            </w:r>
          </w:p>
        </w:tc>
        <w:tc>
          <w:tcPr>
            <w:tcW w:type="dxa" w:w="158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0.3479</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GRU</w:t>
            </w:r>
          </w:p>
        </w:tc>
        <w:tc>
          <w:tcPr>
            <w:tcW w:type="dxa" w:w="8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2</w:t>
            </w:r>
          </w:p>
        </w:tc>
        <w:tc>
          <w:tcPr>
            <w:tcW w:type="dxa" w:w="158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332,705</w:t>
            </w:r>
          </w:p>
        </w:tc>
        <w:tc>
          <w:tcPr>
            <w:tcW w:type="dxa" w:w="194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88.94%</w:t>
            </w:r>
          </w:p>
        </w:tc>
        <w:tc>
          <w:tcPr>
            <w:tcW w:type="dxa" w:w="8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6</w:t>
            </w:r>
          </w:p>
        </w:tc>
        <w:tc>
          <w:tcPr>
            <w:tcW w:type="dxa" w:w="158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0.2877</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GRU</w:t>
            </w:r>
          </w:p>
        </w:tc>
        <w:tc>
          <w:tcPr>
            <w:tcW w:type="dxa" w:w="8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3</w:t>
            </w:r>
          </w:p>
        </w:tc>
        <w:tc>
          <w:tcPr>
            <w:tcW w:type="dxa" w:w="158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339,041</w:t>
            </w:r>
          </w:p>
        </w:tc>
        <w:tc>
          <w:tcPr>
            <w:tcW w:type="dxa" w:w="194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89.38%</w:t>
            </w:r>
          </w:p>
        </w:tc>
        <w:tc>
          <w:tcPr>
            <w:tcW w:type="dxa" w:w="8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3</w:t>
            </w:r>
          </w:p>
        </w:tc>
        <w:tc>
          <w:tcPr>
            <w:tcW w:type="dxa" w:w="158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0.2724</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LSTM</w:t>
            </w:r>
          </w:p>
        </w:tc>
        <w:tc>
          <w:tcPr>
            <w:tcW w:type="dxa" w:w="8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1</w:t>
            </w:r>
          </w:p>
        </w:tc>
        <w:tc>
          <w:tcPr>
            <w:tcW w:type="dxa" w:w="158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328,353</w:t>
            </w:r>
          </w:p>
        </w:tc>
        <w:tc>
          <w:tcPr>
            <w:tcW w:type="dxa" w:w="194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88.54%</w:t>
            </w:r>
          </w:p>
        </w:tc>
        <w:tc>
          <w:tcPr>
            <w:tcW w:type="dxa" w:w="8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3</w:t>
            </w:r>
          </w:p>
        </w:tc>
        <w:tc>
          <w:tcPr>
            <w:tcW w:type="dxa" w:w="158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0.2939</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LSTM</w:t>
            </w:r>
          </w:p>
        </w:tc>
        <w:tc>
          <w:tcPr>
            <w:tcW w:type="dxa" w:w="8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2</w:t>
            </w:r>
          </w:p>
        </w:tc>
        <w:tc>
          <w:tcPr>
            <w:tcW w:type="dxa" w:w="158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336,673</w:t>
            </w:r>
          </w:p>
        </w:tc>
        <w:tc>
          <w:tcPr>
            <w:tcW w:type="dxa" w:w="194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88.90%</w:t>
            </w:r>
          </w:p>
        </w:tc>
        <w:tc>
          <w:tcPr>
            <w:tcW w:type="dxa" w:w="8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2</w:t>
            </w:r>
          </w:p>
        </w:tc>
        <w:tc>
          <w:tcPr>
            <w:tcW w:type="dxa" w:w="158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0.2727</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LSTM</w:t>
            </w:r>
          </w:p>
        </w:tc>
        <w:tc>
          <w:tcPr>
            <w:tcW w:type="dxa" w:w="8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3</w:t>
            </w:r>
          </w:p>
        </w:tc>
        <w:tc>
          <w:tcPr>
            <w:tcW w:type="dxa" w:w="158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344,993</w:t>
            </w:r>
          </w:p>
        </w:tc>
        <w:tc>
          <w:tcPr>
            <w:tcW w:type="dxa" w:w="194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88.66%</w:t>
            </w:r>
          </w:p>
        </w:tc>
        <w:tc>
          <w:tcPr>
            <w:tcW w:type="dxa" w:w="86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3</w:t>
            </w:r>
          </w:p>
        </w:tc>
        <w:tc>
          <w:tcPr>
            <w:tcW w:type="dxa" w:w="158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0.2898</w:t>
            </w:r>
          </w:p>
        </w:tc>
      </w:tr>
    </w:tbl>
    <w:p>
      <w:pPr>
        <w:spacing w:after="140" w:line="254" w:lineRule="auto"/>
      </w:pPr>
      <w:r>
        <w:rPr>
          <w:rFonts w:ascii="Calibri" w:hAnsi="Calibri"/>
          <w:b w:val="0"/>
          <w:sz w:val="22"/>
        </w:rPr>
        <w:t>Best accuracy means the maximum validation accuracy over the 15 epochs; related loss is the validation loss at that same epoch. When accuracy is tied, the lower associated loss is preferred. In this comparison, the selected GRU also has the lowest validation loss overall, so the accuracy and loss criteria agree.</w:t>
      </w:r>
    </w:p>
    <w:p>
      <w:pPr>
        <w:keepNext/>
        <w:spacing w:after="140" w:line="254" w:lineRule="auto"/>
      </w:pPr>
      <w:r>
        <w:rPr>
          <w:rFonts w:ascii="Calibri" w:hAnsi="Calibri"/>
          <w:b/>
          <w:sz w:val="22"/>
        </w:rPr>
        <w:t>Why the result is reasonable but not guaranteed</w:t>
      </w:r>
    </w:p>
    <w:p>
      <w:pPr>
        <w:spacing w:after="140" w:line="254" w:lineRule="auto"/>
      </w:pPr>
      <w:r>
        <w:rPr>
          <w:rFonts w:ascii="Calibri" w:hAnsi="Calibri"/>
          <w:b w:val="0"/>
          <w:sz w:val="22"/>
        </w:rPr>
        <w:t>A simple RNN can struggle to retain information across long reviews because the learning signal can become very small. GRU and LSTM networks use gates that help preserve useful context. It is therefore reasonable to expect gated networks to help with this task, but that expectation must be checked with results.</w:t>
      </w:r>
    </w:p>
    <w:p>
      <w:pPr>
        <w:spacing w:after="140" w:line="254" w:lineRule="auto"/>
      </w:pPr>
      <w:r>
        <w:rPr>
          <w:rFonts w:ascii="Calibri" w:hAnsi="Calibri"/>
          <w:b w:val="0"/>
          <w:sz w:val="22"/>
        </w:rPr>
        <w:t>The 3-layer GRU can process the word sequence through several stages, allowing later layers to combine patterns learned by earlier layers. The comparison supports this depth for the GRU on this split. More layers are not always better: the 1-layer SimpleRNN and 2-layer LSTM gave the best accuracy within their families. Extra layers can also make optimization harder or increase overfitting.</w:t>
      </w:r>
    </w:p>
    <w:p>
      <w:pPr>
        <w:spacing w:after="140" w:line="254" w:lineRule="auto"/>
      </w:pPr>
      <w:r>
        <w:rPr>
          <w:rFonts w:ascii="Calibri" w:hAnsi="Calibri"/>
          <w:b w:val="0"/>
          <w:sz w:val="22"/>
        </w:rPr>
        <w:t>The selected GRU has 339,041 parameters. The 2-layer LSTM has 336,673, so the selected GRU is not smaller than that closest competitor. It exceeds the LSTM by 0.48 percentage points in validation accuracy, equivalent to 24 of the 5,000 validation reviews. Their losses differ by only about 0.0003. One split and one seed do not establish that this advantage will persist. Repeated runs and paired prediction comparisons are needed before claiming a reliable general advantage.</w:t>
      </w:r>
    </w:p>
    <w:p>
      <w:pPr>
        <w:keepNext/>
        <w:spacing w:after="140" w:line="254" w:lineRule="auto"/>
      </w:pPr>
      <w:r>
        <w:rPr>
          <w:rFonts w:ascii="Calibri" w:hAnsi="Calibri"/>
          <w:b/>
          <w:sz w:val="22"/>
        </w:rPr>
        <w:t>How the selected model predicts sentiment</w:t>
      </w:r>
    </w:p>
    <w:p>
      <w:pPr>
        <w:spacing w:after="140" w:line="254" w:lineRule="auto"/>
      </w:pPr>
      <w:r>
        <w:rPr>
          <w:rFonts w:ascii="Calibri" w:hAnsi="Calibri"/>
          <w:b w:val="0"/>
          <w:sz w:val="22"/>
        </w:rPr>
        <w:t>Word IDs enter a 32-dimensional embedding, then pass through three GRU layers with 32 units each. The first two GRU layers return a sequence for the next layer; the third returns one summary vector. A sigmoid output converts it into a positive-review probability. A value of at least 0.5 predicts positive; a lower value predicts negative. This is a learned prediction, not a guarantee of correctness.</w:t>
      </w:r>
    </w:p>
    <w:p>
      <w:pPr>
        <w:keepNext/>
        <w:spacing w:after="140" w:line="254" w:lineRule="auto"/>
      </w:pPr>
      <w:r>
        <w:rPr>
          <w:rFonts w:ascii="Calibri" w:hAnsi="Calibri"/>
          <w:b/>
          <w:sz w:val="22"/>
        </w:rPr>
        <w:t>Full model run</w:t>
      </w:r>
    </w:p>
    <w:p>
      <w:pPr>
        <w:spacing w:after="140" w:line="254" w:lineRule="auto"/>
      </w:pPr>
      <w:r>
        <w:rPr>
          <w:rFonts w:ascii="Calibri" w:hAnsi="Calibri"/>
          <w:b w:val="0"/>
          <w:sz w:val="22"/>
        </w:rPr>
        <w:t>The file imdb_lstm.py now builds the selected 3-layer GRU for 35 epochs with the same split and settings. This longer run explores overfitting; improvement is not guaranteed. In results_gru_3_layers, model.keras keeps the lowest-validation-loss checkpoint and final.keras stores epoch 35.</w:t>
      </w:r>
    </w:p>
    <w:p>
      <w:pPr>
        <w:spacing w:after="140" w:line="254" w:lineRule="auto"/>
      </w:pPr>
      <w:r>
        <w:rPr>
          <w:rFonts w:ascii="Calibri" w:hAnsi="Calibri"/>
          <w:b w:val="0"/>
          <w:sz w:val="22"/>
        </w:rPr>
        <w:t>The tables report the completed 15-epoch comparison, not the separate 35-epoch GRU run. The original LSTM results follow as an initial baseline. Its earlier use of the test split means this test set is not completely untouched across the project.</w:t>
      </w:r>
    </w:p>
    <w:p>
      <w:r>
        <w:br w:type="page"/>
      </w:r>
    </w:p>
    <w:p>
      <w:pPr>
        <w:pStyle w:val="Heading2"/>
        <w:keepNext/>
        <w:spacing w:after="180"/>
      </w:pPr>
      <w:r>
        <w:t>Comparison learning curves</w:t>
      </w:r>
    </w:p>
    <w:p>
      <w:pPr>
        <w:keepNext/>
        <w:spacing w:after="40"/>
      </w:pPr>
      <w:r>
        <w:drawing>
          <wp:inline>
            <wp:extent cx="5715000" cy="2143125"/>
            <wp:docPr id="3" name="Picture 3"/>
            <wp:cNvGraphicFramePr>
              <a:graphicFrameLocks noChangeAspect="1"/>
            </wp:cNvGraphicFramePr>
            <a:graphic>
              <a:graphicData uri="http://schemas.openxmlformats.org/drawingml/2006/picture">
                <pic:pic>
                  <pic:nvPicPr>
                    <pic:cNvPr id="0" name="simplernn_comparison.png"/>
                    <pic:cNvPicPr/>
                  </pic:nvPicPr>
                  <pic:blipFill>
                    <a:blip r:embed="rId9"/>
                    <a:stretch>
                      <a:fillRect/>
                    </a:stretch>
                  </pic:blipFill>
                  <pic:spPr>
                    <a:xfrm>
                      <a:off x="0" y="0"/>
                      <a:ext cx="5715000" cy="2143125"/>
                    </a:xfrm>
                    <a:prstGeom prst="rect"/>
                  </pic:spPr>
                </pic:pic>
              </a:graphicData>
            </a:graphic>
          </wp:inline>
        </w:drawing>
      </w:r>
    </w:p>
    <w:p>
      <w:pPr>
        <w:spacing w:after="140" w:line="254" w:lineRule="auto"/>
      </w:pPr>
      <w:r>
        <w:rPr>
          <w:rFonts w:ascii="Calibri" w:hAnsi="Calibri"/>
          <w:b w:val="0"/>
          <w:sz w:val="22"/>
        </w:rPr>
        <w:t>SimpleRNN: training and validation accuracy and loss for 1, 2 and 3 recurrent layers. Dashed lines show training; solid lines show validation.</w:t>
      </w:r>
    </w:p>
    <w:p>
      <w:pPr>
        <w:keepNext/>
        <w:spacing w:after="40"/>
      </w:pPr>
      <w:r>
        <w:drawing>
          <wp:inline>
            <wp:extent cx="5715000" cy="2143125"/>
            <wp:docPr id="4" name="Picture 4"/>
            <wp:cNvGraphicFramePr>
              <a:graphicFrameLocks noChangeAspect="1"/>
            </wp:cNvGraphicFramePr>
            <a:graphic>
              <a:graphicData uri="http://schemas.openxmlformats.org/drawingml/2006/picture">
                <pic:pic>
                  <pic:nvPicPr>
                    <pic:cNvPr id="0" name="gru_comparison.png"/>
                    <pic:cNvPicPr/>
                  </pic:nvPicPr>
                  <pic:blipFill>
                    <a:blip r:embed="rId10"/>
                    <a:stretch>
                      <a:fillRect/>
                    </a:stretch>
                  </pic:blipFill>
                  <pic:spPr>
                    <a:xfrm>
                      <a:off x="0" y="0"/>
                      <a:ext cx="5715000" cy="2143125"/>
                    </a:xfrm>
                    <a:prstGeom prst="rect"/>
                  </pic:spPr>
                </pic:pic>
              </a:graphicData>
            </a:graphic>
          </wp:inline>
        </w:drawing>
      </w:r>
    </w:p>
    <w:p>
      <w:pPr>
        <w:spacing w:after="140" w:line="254" w:lineRule="auto"/>
      </w:pPr>
      <w:r>
        <w:rPr>
          <w:rFonts w:ascii="Calibri" w:hAnsi="Calibri"/>
          <w:b w:val="0"/>
          <w:sz w:val="22"/>
        </w:rPr>
        <w:t>GRU: training and validation accuracy and loss for 1, 2 and 3 recurrent layers. Dashed lines show training; solid lines show validation.</w:t>
      </w:r>
    </w:p>
    <w:p>
      <w:pPr>
        <w:keepNext/>
        <w:spacing w:after="40"/>
      </w:pPr>
      <w:r>
        <w:drawing>
          <wp:inline>
            <wp:extent cx="5715000" cy="2143125"/>
            <wp:docPr id="5" name="Picture 5"/>
            <wp:cNvGraphicFramePr>
              <a:graphicFrameLocks noChangeAspect="1"/>
            </wp:cNvGraphicFramePr>
            <a:graphic>
              <a:graphicData uri="http://schemas.openxmlformats.org/drawingml/2006/picture">
                <pic:pic>
                  <pic:nvPicPr>
                    <pic:cNvPr id="0" name="lstm_comparison.png"/>
                    <pic:cNvPicPr/>
                  </pic:nvPicPr>
                  <pic:blipFill>
                    <a:blip r:embed="rId11"/>
                    <a:stretch>
                      <a:fillRect/>
                    </a:stretch>
                  </pic:blipFill>
                  <pic:spPr>
                    <a:xfrm>
                      <a:off x="0" y="0"/>
                      <a:ext cx="5715000" cy="2143125"/>
                    </a:xfrm>
                    <a:prstGeom prst="rect"/>
                  </pic:spPr>
                </pic:pic>
              </a:graphicData>
            </a:graphic>
          </wp:inline>
        </w:drawing>
      </w:r>
    </w:p>
    <w:p>
      <w:pPr>
        <w:spacing w:after="140" w:line="254" w:lineRule="auto"/>
      </w:pPr>
      <w:r>
        <w:rPr>
          <w:rFonts w:ascii="Calibri" w:hAnsi="Calibri"/>
          <w:b w:val="0"/>
          <w:sz w:val="22"/>
        </w:rPr>
        <w:t>LSTM: training and validation accuracy and loss for 1, 2 and 3 recurrent layers. Dashed lines show training; solid lines show validation.</w:t>
      </w:r>
    </w:p>
    <w:p>
      <w:pPr>
        <w:spacing w:after="140" w:line="254" w:lineRule="auto"/>
      </w:pPr>
      <w:r>
        <w:rPr>
          <w:rFonts w:ascii="Calibri" w:hAnsi="Calibri"/>
          <w:b w:val="0"/>
          <w:sz w:val="22"/>
        </w:rPr>
        <w:t>Source: results_recurrent_comparison/20261015_150230_305523, histories.json, config.json and the three comparison figures. Each curve uses end-of-epoch evaluation with the same current weights for training and validation.</w:t>
      </w:r>
    </w:p>
    <w:p>
      <w:r>
        <w:br w:type="page"/>
      </w:r>
    </w:p>
    <w:p w:rsidR="00000000" w:rsidDel="00000000" w:rsidP="00000000" w:rsidRDefault="00000000" w:rsidRPr="00000000" w14:paraId="00000002">
      <w:pPr>
        <w:pStyle w:val="Heading1"/>
        <w:rPr/>
      </w:pPr>
      <w:bookmarkStart w:colFirst="0" w:colLast="0" w:name="_heading=h.tjfcoolzgsg0" w:id="0"/>
      <w:bookmarkEnd w:id="0"/>
      <w:r w:rsidDel="00000000" w:rsidR="00000000" w:rsidRPr="00000000">
        <w:rPr>
          <w:rtl w:val="0"/>
        </w:rPr>
        <w:t xml:space="preserve">Exercise 1:   Recurrent Neural Networks</w:t>
      </w:r>
    </w:p>
    <w:p w:rsidR="00000000" w:rsidDel="00000000" w:rsidP="00000000" w:rsidRDefault="00000000" w:rsidRPr="00000000" w14:paraId="00000003">
      <w:pPr>
        <w:pStyle w:val="Heading2"/>
        <w:rPr/>
      </w:pPr>
      <w:bookmarkStart w:colFirst="0" w:colLast="0" w:name="_heading=h.x35e51d9evgs" w:id="1"/>
      <w:bookmarkEnd w:id="1"/>
      <w:r w:rsidDel="00000000" w:rsidR="00000000" w:rsidRPr="00000000">
        <w:rPr>
          <w:rtl w:val="0"/>
        </w:rPr>
        <w:t xml:space="preserve">Question 1:   Feedforward networks and RNNs</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What is a feedforward neural network</w:t>
      </w:r>
    </w:p>
    <w:p w:rsidR="00000000" w:rsidDel="00000000" w:rsidP="00000000" w:rsidRDefault="00000000" w:rsidRPr="00000000" w14:paraId="00000006">
      <w:pPr>
        <w:rPr/>
      </w:pPr>
      <w:r w:rsidDel="00000000" w:rsidR="00000000" w:rsidRPr="00000000">
        <w:rPr>
          <w:rtl w:val="0"/>
        </w:rPr>
        <w:t xml:space="preserve">A feedforward neural network learns a mapping from an input to an output. Information moves in one direction: from the input, through hidden layers, to the prediction. There is no loop carrying information from a previous input into the next one.</w:t>
      </w:r>
    </w:p>
    <w:p w:rsidR="00000000" w:rsidDel="00000000" w:rsidP="00000000" w:rsidRDefault="00000000" w:rsidRPr="00000000" w14:paraId="00000007">
      <w:pPr>
        <w:rPr/>
      </w:pPr>
      <w:r w:rsidDel="00000000" w:rsidR="00000000" w:rsidRPr="00000000">
        <w:rPr>
          <w:rtl w:val="0"/>
        </w:rPr>
        <w:t xml:space="preserve">Feedforward networks are used for tasks such as predicting prices from numerical features, classifying customer records and recognizing handwritten digits from pixel values. They are useful when the information needed for a prediction is supplied together as a fixed-size input.</w:t>
      </w:r>
    </w:p>
    <w:p w:rsidR="00000000" w:rsidDel="00000000" w:rsidP="00000000" w:rsidRDefault="00000000" w:rsidRPr="00000000" w14:paraId="00000008">
      <w:pPr>
        <w:rPr>
          <w:b w:val="1"/>
          <w:bCs w:val="1"/>
        </w:rPr>
      </w:pPr>
      <w:r w:rsidDel="00000000" w:rsidR="00000000" w:rsidRPr="00000000">
        <w:rPr>
          <w:b w:val="1"/>
          <w:bCs w:val="1"/>
          <w:rtl w:val="0"/>
        </w:rPr>
        <w:t xml:space="preserve">What is a recurrent neural network</w:t>
      </w:r>
    </w:p>
    <w:p w:rsidR="00000000" w:rsidDel="00000000" w:rsidP="00000000" w:rsidRDefault="00000000" w:rsidRPr="00000000" w14:paraId="00000009">
      <w:pPr>
        <w:rPr/>
      </w:pPr>
      <w:r w:rsidDel="00000000" w:rsidR="00000000" w:rsidRPr="00000000">
        <w:rPr>
          <w:rtl w:val="0"/>
        </w:rPr>
        <w:t xml:space="preserve">A recurrent neural network (RNN) processes a sequence one step at a time. At each step, it uses the current input and a hidden state from the previous step. The hidden state acts as a short summary of what the network has read so far. The same weights are reused at every step.</w:t>
      </w:r>
    </w:p>
    <w:p w:rsidR="00000000" w:rsidDel="00000000" w:rsidP="00000000" w:rsidRDefault="00000000" w:rsidRPr="00000000" w14:paraId="0000000A">
      <w:pPr>
        <w:rPr/>
      </w:pPr>
      <w:r w:rsidDel="00000000" w:rsidR="00000000" w:rsidRPr="00000000">
        <w:rPr>
          <w:rtl w:val="0"/>
        </w:rPr>
        <w:t xml:space="preserve">For example, an RNN reads a movie review word by word. In "The movie was not good", it can learn to carry information about "not" forward when it reaches "good". This helps it predict the meaning of the whole review instead of relying on one word alone.</w:t>
      </w:r>
    </w:p>
    <w:p w:rsidR="00000000" w:rsidDel="00000000" w:rsidP="00000000" w:rsidRDefault="00000000" w:rsidRPr="00000000" w14:paraId="0000000B">
      <w:pPr>
        <w:rPr/>
      </w:pPr>
      <w:r w:rsidDel="00000000" w:rsidR="00000000" w:rsidRPr="00000000">
        <w:rPr>
          <w:rtl w:val="0"/>
        </w:rPr>
        <w:t xml:space="preserve">RNNs are used for sequential data, including text, speech and measurements collected over time. Examples include classifying movie reviews, recognizing spoken words and predicting the next value in a sequence.</w:t>
      </w:r>
    </w:p>
    <w:p w:rsidR="00000000" w:rsidDel="00000000" w:rsidP="00000000" w:rsidRDefault="00000000" w:rsidRPr="00000000" w14:paraId="0000000C">
      <w:pPr>
        <w:rPr/>
      </w:pPr>
      <w:r w:rsidDel="00000000" w:rsidR="00000000" w:rsidRPr="00000000">
        <w:rPr>
          <w:rtl w:val="0"/>
        </w:rPr>
      </w:r>
    </w:p>
    <w:sdt>
      <w:sdtPr>
        <w:lock w:val="contentLocked"/>
        <w:id w:val="-1110489461"/>
        <w:tag w:val="goog_rdk_0"/>
      </w:sdtPr>
      <w:sdtContent>
        <w:tbl>
          <w:tblPr>
            <w:tblStyle w:val="Table1"/>
            <w:tblW w:w="94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725"/>
            <w:gridCol w:w="4725"/>
            <w:tblGridChange w:id="0">
              <w:tblGrid>
                <w:gridCol w:w="4725"/>
                <w:gridCol w:w="4725"/>
              </w:tblGrid>
            </w:tblGridChange>
          </w:tblGrid>
          <w:tr>
            <w:trPr>
              <w:cantSplit w:val="0"/>
              <w:trHeight w:val="554.1210937499999" w:hRule="atLeast"/>
              <w:tblHeader w:val="0"/>
            </w:trPr>
            <w:tc>
              <w:tcPr>
                <w:gridSpan w:val="2"/>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0D">
                <w:pPr>
                  <w:jc w:val="center"/>
                  <w:rPr>
                    <w:rFonts w:ascii="Arial Black" w:cs="Arial Black" w:eastAsia="Arial Black" w:hAnsi="Arial Black"/>
                    <w:b w:val="1"/>
                    <w:bCs w:val="1"/>
                  </w:rPr>
                </w:pPr>
                <w:r w:rsidDel="00000000" w:rsidR="00000000" w:rsidRPr="00000000">
                  <w:rPr>
                    <w:rFonts w:ascii="Arial Black" w:cs="Arial Black" w:eastAsia="Arial Black" w:hAnsi="Arial Black"/>
                    <w:b w:val="1"/>
                    <w:bCs w:val="1"/>
                    <w:rtl w:val="0"/>
                  </w:rPr>
                  <w:t xml:space="preserve">Main Difference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0F">
                <w:pPr>
                  <w:widowControl w:val="0"/>
                  <w:spacing w:after="0" w:line="240" w:lineRule="auto"/>
                  <w:jc w:val="center"/>
                  <w:rPr/>
                </w:pPr>
                <w:r w:rsidDel="00000000" w:rsidR="00000000" w:rsidRPr="00000000">
                  <w:rPr>
                    <w:b w:val="1"/>
                    <w:bCs w:val="1"/>
                    <w:rtl w:val="0"/>
                  </w:rPr>
                  <w:t xml:space="preserve">Feedforward network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10">
                <w:pPr>
                  <w:widowControl w:val="0"/>
                  <w:spacing w:after="0" w:line="240" w:lineRule="auto"/>
                  <w:jc w:val="center"/>
                  <w:rPr/>
                </w:pPr>
                <w:r w:rsidDel="00000000" w:rsidR="00000000" w:rsidRPr="00000000">
                  <w:rPr>
                    <w:b w:val="1"/>
                    <w:bCs w:val="1"/>
                    <w:rtl w:val="0"/>
                  </w:rPr>
                  <w:t xml:space="preserve">RNN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11">
                <w:pPr>
                  <w:widowControl w:val="0"/>
                  <w:spacing w:after="0" w:line="240" w:lineRule="auto"/>
                  <w:rPr/>
                </w:pPr>
                <w:r w:rsidDel="00000000" w:rsidR="00000000" w:rsidRPr="00000000">
                  <w:rPr>
                    <w:rtl w:val="0"/>
                  </w:rPr>
                  <w:t xml:space="preserve">Processes the supplied input through its layers</w:t>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12">
                <w:pPr>
                  <w:widowControl w:val="0"/>
                  <w:spacing w:after="0" w:line="240" w:lineRule="auto"/>
                  <w:rPr/>
                </w:pPr>
                <w:r w:rsidDel="00000000" w:rsidR="00000000" w:rsidRPr="00000000">
                  <w:rPr>
                    <w:rtl w:val="0"/>
                  </w:rPr>
                  <w:t xml:space="preserve">Processes a sequence step by step</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13">
                <w:pPr>
                  <w:widowControl w:val="0"/>
                  <w:spacing w:after="0" w:line="240" w:lineRule="auto"/>
                  <w:rPr/>
                </w:pPr>
                <w:r w:rsidDel="00000000" w:rsidR="00000000" w:rsidRPr="00000000">
                  <w:rPr>
                    <w:rtl w:val="0"/>
                  </w:rPr>
                  <w:t xml:space="preserve">Does not carry a hidden state between inputs</w:t>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14">
                <w:pPr>
                  <w:widowControl w:val="0"/>
                  <w:spacing w:after="0" w:line="240" w:lineRule="auto"/>
                  <w:rPr/>
                </w:pPr>
                <w:r w:rsidDel="00000000" w:rsidR="00000000" w:rsidRPr="00000000">
                  <w:rPr>
                    <w:rtl w:val="0"/>
                  </w:rPr>
                  <w:t xml:space="preserve">Carries a hidden state between sequence steps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15">
                <w:pPr>
                  <w:widowControl w:val="0"/>
                  <w:spacing w:after="0" w:line="240" w:lineRule="auto"/>
                  <w:rPr/>
                </w:pPr>
                <w:r w:rsidDel="00000000" w:rsidR="00000000" w:rsidRPr="00000000">
                  <w:rPr>
                    <w:rtl w:val="0"/>
                  </w:rPr>
                  <w:t xml:space="preserve">Usually expects a fixed-size input</w:t>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16">
                <w:pPr>
                  <w:widowControl w:val="0"/>
                  <w:spacing w:after="0" w:line="240" w:lineRule="auto"/>
                  <w:rPr/>
                </w:pPr>
                <w:r w:rsidDel="00000000" w:rsidR="00000000" w:rsidRPr="00000000">
                  <w:rPr>
                    <w:rtl w:val="0"/>
                  </w:rPr>
                  <w:t xml:space="preserve">Can process sequences of different lengths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17">
                <w:pPr>
                  <w:widowControl w:val="0"/>
                  <w:spacing w:after="0" w:line="240" w:lineRule="auto"/>
                  <w:rPr/>
                </w:pPr>
                <w:r w:rsidDel="00000000" w:rsidR="00000000" w:rsidRPr="00000000">
                  <w:rPr>
                    <w:rtl w:val="0"/>
                  </w:rPr>
                  <w:t xml:space="preserve">Has no built-in mechanism for remembering earlier sequence steps</w:t>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18">
                <w:pPr>
                  <w:widowControl w:val="0"/>
                  <w:spacing w:after="0" w:line="240" w:lineRule="auto"/>
                  <w:rPr/>
                </w:pPr>
                <w:r w:rsidDel="00000000" w:rsidR="00000000" w:rsidRPr="00000000">
                  <w:rPr>
                    <w:rtl w:val="0"/>
                  </w:rPr>
                  <w:t xml:space="preserve">Is designed to use information from earlier steps</w:t>
                </w:r>
              </w:p>
            </w:tc>
          </w:tr>
        </w:tbl>
      </w:sdtContent>
    </w:sdt>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2"/>
        <w:rPr/>
      </w:pPr>
      <w:bookmarkStart w:colFirst="0" w:colLast="0" w:name="_heading=h.gkct38yy676p" w:id="2"/>
      <w:bookmarkEnd w:id="2"/>
      <w:r w:rsidDel="00000000" w:rsidR="00000000" w:rsidRPr="00000000">
        <w:rPr>
          <w:rtl w:val="0"/>
        </w:rPr>
        <w:t xml:space="preserve">Question 2:   The vanishing gradient problem</w:t>
      </w:r>
    </w:p>
    <w:p w:rsidR="00000000" w:rsidDel="00000000" w:rsidP="00000000" w:rsidRDefault="00000000" w:rsidRPr="00000000" w14:paraId="0000001C">
      <w:pPr>
        <w:rPr>
          <w:b w:val="1"/>
          <w:bCs w:val="1"/>
        </w:rPr>
      </w:pPr>
      <w:r w:rsidDel="00000000" w:rsidR="00000000" w:rsidRPr="00000000">
        <w:rPr>
          <w:b w:val="1"/>
          <w:bCs w:val="1"/>
          <w:rtl w:val="0"/>
        </w:rPr>
        <w:t xml:space="preserve">What it means</w:t>
      </w:r>
    </w:p>
    <w:p w:rsidR="00000000" w:rsidDel="00000000" w:rsidP="00000000" w:rsidRDefault="00000000" w:rsidRPr="00000000" w14:paraId="0000001D">
      <w:pPr>
        <w:rPr/>
      </w:pPr>
      <w:r w:rsidDel="00000000" w:rsidR="00000000" w:rsidRPr="00000000">
        <w:rPr>
          <w:rtl w:val="0"/>
        </w:rPr>
        <w:t xml:space="preserve">During training, a network measures its prediction error and works backward to calculate how its weights should change. A gradient tells it how changing a weight would affect the error. If this gradient becomes extremely small, the learning signal is weak and the weight may change very little. This is the vanishing gradient problem.</w:t>
      </w:r>
    </w:p>
    <w:p w:rsidR="00000000" w:rsidDel="00000000" w:rsidP="00000000" w:rsidRDefault="00000000" w:rsidRPr="00000000" w14:paraId="0000001E">
      <w:pPr>
        <w:rPr>
          <w:b w:val="1"/>
          <w:bCs w:val="1"/>
        </w:rPr>
      </w:pPr>
      <w:r w:rsidDel="00000000" w:rsidR="00000000" w:rsidRPr="00000000">
        <w:rPr>
          <w:b w:val="1"/>
          <w:bCs w:val="1"/>
          <w:rtl w:val="0"/>
        </w:rPr>
        <w:t xml:space="preserve">Why it happens in RNNs</w:t>
      </w:r>
    </w:p>
    <w:p w:rsidR="00000000" w:rsidDel="00000000" w:rsidP="00000000" w:rsidRDefault="00000000" w:rsidRPr="00000000" w14:paraId="0000001F">
      <w:pPr>
        <w:rPr/>
      </w:pPr>
      <w:r w:rsidDel="00000000" w:rsidR="00000000" w:rsidRPr="00000000">
        <w:rPr>
          <w:rtl w:val="0"/>
        </w:rPr>
        <w:t xml:space="preserve">In an RNN, the learning signal travels backward through the sequence steps. This is called backpropagation through time. The calculation repeatedly multiplies values. If these multiplications keep shrinking the signal, it can become almost zero before reaching the early steps. For example, multiplying 0.5 by itself 20 times gives approximately 0.000001.</w:t>
      </w:r>
    </w:p>
    <w:p w:rsidR="00000000" w:rsidDel="00000000" w:rsidP="00000000" w:rsidRDefault="00000000" w:rsidRPr="00000000" w14:paraId="00000020">
      <w:pPr>
        <w:rPr>
          <w:b w:val="1"/>
          <w:bCs w:val="1"/>
        </w:rPr>
      </w:pPr>
      <w:r w:rsidDel="00000000" w:rsidR="00000000" w:rsidRPr="00000000">
        <w:rPr>
          <w:b w:val="1"/>
          <w:bCs w:val="1"/>
          <w:rtl w:val="0"/>
        </w:rPr>
        <w:t xml:space="preserve">How it affects training</w:t>
      </w:r>
    </w:p>
    <w:p w:rsidR="00000000" w:rsidDel="00000000" w:rsidP="00000000" w:rsidRDefault="00000000" w:rsidRPr="00000000" w14:paraId="00000021">
      <w:pPr>
        <w:rPr/>
      </w:pPr>
      <w:r w:rsidDel="00000000" w:rsidR="00000000" w:rsidRPr="00000000">
        <w:rPr>
          <w:rtl w:val="0"/>
        </w:rPr>
        <w:t xml:space="preserve">The RNN then struggles to learn how information near the beginning of a sequence affects a prediction at the end. For example, a long review may begin with "I did not enjoy this film" and later describe many details. The model may struggle to learn to preserve that early opinion for its final sentiment prediction.</w:t>
      </w:r>
    </w:p>
    <w:p w:rsidR="00000000" w:rsidDel="00000000" w:rsidP="00000000" w:rsidRDefault="00000000" w:rsidRPr="00000000" w14:paraId="00000022">
      <w:pPr>
        <w:rPr/>
      </w:pPr>
      <w:r w:rsidDel="00000000" w:rsidR="00000000" w:rsidRPr="00000000">
        <w:rPr>
          <w:rtl w:val="0"/>
        </w:rPr>
        <w:t xml:space="preserve">As a result, a simple RNN often learns relationships between nearby words more easily than relationships between distant words. LSTMs and GRUs help reduce this problem by using gates that control how information is kept and updated.</w:t>
      </w:r>
    </w:p>
    <w:p w:rsidR="00000000" w:rsidDel="00000000" w:rsidP="00000000" w:rsidRDefault="00000000" w:rsidRPr="00000000" w14:paraId="00000023">
      <w:pPr>
        <w:pStyle w:val="Heading2"/>
        <w:rPr/>
      </w:pPr>
      <w:bookmarkStart w:colFirst="0" w:colLast="0" w:name="_heading=h.gbfzjscua4k8" w:id="3"/>
      <w:bookmarkEnd w:id="3"/>
      <w:r w:rsidDel="00000000" w:rsidR="00000000" w:rsidRPr="00000000">
        <w:rPr>
          <w:rtl w:val="0"/>
        </w:rPr>
        <w:t xml:space="preserve">Question 3:   Where RNNs are used</w:t>
      </w:r>
    </w:p>
    <w:p w:rsidR="00000000" w:rsidDel="00000000" w:rsidP="00000000" w:rsidRDefault="00000000" w:rsidRPr="00000000" w14:paraId="00000024">
      <w:pPr>
        <w:rPr>
          <w:b w:val="1"/>
          <w:bCs w:val="1"/>
        </w:rPr>
      </w:pPr>
      <w:r w:rsidDel="00000000" w:rsidR="00000000" w:rsidRPr="00000000">
        <w:rPr>
          <w:b w:val="1"/>
          <w:bCs w:val="1"/>
          <w:rtl w:val="0"/>
        </w:rPr>
        <w:t xml:space="preserve">Sentiment analysis</w:t>
      </w:r>
    </w:p>
    <w:p w:rsidR="00000000" w:rsidDel="00000000" w:rsidP="00000000" w:rsidRDefault="00000000" w:rsidRPr="00000000" w14:paraId="00000025">
      <w:pPr>
        <w:rPr/>
      </w:pPr>
      <w:r w:rsidDel="00000000" w:rsidR="00000000" w:rsidRPr="00000000">
        <w:rPr>
          <w:rtl w:val="0"/>
        </w:rPr>
        <w:t xml:space="preserve">Sentiment analysis means identifying whether text expresses a positive or negative opinion. An RNN reads the words in order and uses their context to predict the sentiment. For example, "I liked the movie" and "I did not like the movie" express different opinions. Remembering "not" helps the model learn this difference.</w:t>
      </w:r>
    </w:p>
    <w:p w:rsidR="00000000" w:rsidDel="00000000" w:rsidP="00000000" w:rsidRDefault="00000000" w:rsidRPr="00000000" w14:paraId="00000026">
      <w:pPr>
        <w:rPr/>
      </w:pPr>
      <w:r w:rsidDel="00000000" w:rsidR="00000000" w:rsidRPr="00000000">
        <w:rPr>
          <w:rtl w:val="0"/>
        </w:rPr>
        <w:t xml:space="preserve">This is the task in Exercise 1: the model reads an IMDB movie review and predicts positive or negative sentiment. The sequence of words matters because an individual word may not reveal the overall opinion.</w:t>
      </w:r>
    </w:p>
    <w:p w:rsidR="00000000" w:rsidDel="00000000" w:rsidP="00000000" w:rsidRDefault="00000000" w:rsidRPr="00000000" w14:paraId="00000027">
      <w:pPr>
        <w:rPr>
          <w:b w:val="1"/>
          <w:bCs w:val="1"/>
        </w:rPr>
      </w:pPr>
      <w:r w:rsidDel="00000000" w:rsidR="00000000" w:rsidRPr="00000000">
        <w:rPr>
          <w:b w:val="1"/>
          <w:bCs w:val="1"/>
          <w:rtl w:val="0"/>
        </w:rPr>
        <w:t xml:space="preserve">Speech recognition</w:t>
      </w:r>
    </w:p>
    <w:p w:rsidR="00000000" w:rsidDel="00000000" w:rsidP="00000000" w:rsidRDefault="00000000" w:rsidRPr="00000000" w14:paraId="00000028">
      <w:pPr>
        <w:rPr/>
      </w:pPr>
      <w:r w:rsidDel="00000000" w:rsidR="00000000" w:rsidRPr="00000000">
        <w:rPr>
          <w:rtl w:val="0"/>
        </w:rPr>
        <w:t xml:space="preserve">Speech recognition converts spoken audio into written words. Audio is processed as a sequence of short segments. An RNN can use information from earlier segments to help interpret the current sound, rather than treating each segment independently.</w:t>
      </w:r>
    </w:p>
    <w:p w:rsidR="00000000" w:rsidDel="00000000" w:rsidP="00000000" w:rsidRDefault="00000000" w:rsidRPr="00000000" w14:paraId="00000029">
      <w:pPr>
        <w:rPr/>
      </w:pPr>
      <w:r w:rsidDel="00000000" w:rsidR="00000000" w:rsidRPr="00000000">
        <w:rPr>
          <w:rtl w:val="0"/>
        </w:rPr>
        <w:t xml:space="preserve">This is useful because a sound that is unclear on its own may be easier to identify from nearby sounds. RNN-based models, especially LSTM variants, have been effective in speech recognition because they can learn context across the audio sequence.</w:t>
      </w:r>
    </w:p>
    <w:p>
      <w:r>
        <w:br w:type="page"/>
      </w:r>
    </w:p>
    <w:p>
      <w:pPr>
        <w:pStyle w:val="Heading2"/>
        <w:keepNext/>
        <w:spacing w:after="180"/>
      </w:pPr>
      <w:r/>
      <w:r>
        <w:t>Question 4   Initial LSTM baseline</w:t>
      </w:r>
    </w:p>
    <w:p>
      <w:pPr>
        <w:keepNext/>
        <w:spacing w:after="140" w:line="254" w:lineRule="auto"/>
      </w:pPr>
      <w:r>
        <w:rPr>
          <w:rFonts w:ascii="Calibri" w:hAnsi="Calibri"/>
          <w:b/>
          <w:sz w:val="22"/>
        </w:rPr>
        <w:t>The model and why I chose it</w:t>
      </w:r>
    </w:p>
    <w:p>
      <w:pPr>
        <w:spacing w:after="140" w:line="254" w:lineRule="auto"/>
      </w:pPr>
      <w:r>
        <w:rPr>
          <w:rFonts w:ascii="Calibri" w:hAnsi="Calibri"/>
          <w:b w:val="0"/>
          <w:sz w:val="22"/>
        </w:rPr>
        <w:t>I implemented an LSTM in TensorFlow/Keras to classify movie reviews as negative (0) or positive (1). The model has three layers: an embedding layer, one LSTM layer and a dense output layer with a sigmoid activation. It reads word IDs and outputs the probability that a review is positive.</w:t>
      </w:r>
    </w:p>
    <w:p>
      <w:pPr>
        <w:spacing w:after="140" w:line="254" w:lineRule="auto"/>
      </w:pPr>
      <w:r>
        <w:rPr>
          <w:rFonts w:ascii="Calibri" w:hAnsi="Calibri"/>
          <w:b w:val="0"/>
          <w:sz w:val="22"/>
        </w:rPr>
        <w:t>I chose an LSTM because it is a type of RNN with a memory cell and gates that learn what information to keep, forget and pass on. This helps it retain context across long reviews and reduces the vanishing-gradient difficulty of a simple RNN. For example, it can learn to retain a negative statement while reading later details. A simple RNN is cheaper, and a GRU is another simpler gated alternative. At the baseline stage, I had not yet compared the architectures; this initial choice did not establish that LSTM was best.</w:t>
      </w:r>
    </w:p>
    <w:p>
      <w:pPr>
        <w:keepNext/>
        <w:spacing w:after="140" w:line="254" w:lineRule="auto"/>
      </w:pPr>
      <w:r>
        <w:rPr>
          <w:rFonts w:ascii="Calibri" w:hAnsi="Calibri"/>
          <w:b/>
          <w:sz w:val="22"/>
        </w:rPr>
        <w:t>Chosen settings and their purpose</w:t>
      </w:r>
    </w:p>
    <w:p>
      <w:pPr>
        <w:spacing w:after="140" w:line="254" w:lineRule="auto"/>
      </w:pPr>
      <w:r>
        <w:rPr>
          <w:rFonts w:ascii="Calibri" w:hAnsi="Calibri"/>
          <w:b w:val="0"/>
          <w:sz w:val="22"/>
        </w:rPr>
        <w:t>These values provide a small, practical starting model. They were not selected through a parameter search and should not be interpreted as optimal.</w:t>
      </w:r>
    </w:p>
    <w:tbl>
      <w:tblPr>
        <w:tblW w:type="auto" w:w="0"/>
        <w:tblLayout w:type="fixed"/>
        <w:tblLook w:firstColumn="1" w:firstRow="1" w:lastColumn="0" w:lastRow="0" w:noHBand="0" w:noVBand="1" w:val="04A0"/>
      </w:tblPr>
      <w:tblGrid>
        <w:gridCol w:w="1800"/>
        <w:gridCol w:w="2376"/>
        <w:gridCol w:w="5285"/>
      </w:tblGrid>
      <w:tr>
        <w:trPr>
          <w:cantSplit/>
          <w:tblHeader/>
        </w:trPr>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Setting</w:t>
            </w:r>
          </w:p>
        </w:tc>
        <w:tc>
          <w:tcPr>
            <w:tcW w:type="dxa" w:w="237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Value</w:t>
            </w:r>
          </w:p>
        </w:tc>
        <w:tc>
          <w:tcPr>
            <w:tcW w:type="dxa" w:w="528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Reason</w:t>
            </w:r>
          </w:p>
        </w:tc>
      </w:tr>
      <w:tr>
        <w:trPr>
          <w:cantSplit/>
        </w:trPr>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Vocabulary</w:t>
            </w:r>
          </w:p>
        </w:tc>
        <w:tc>
          <w:tcPr>
            <w:tcW w:type="dxa" w:w="237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10,000 IDs</w:t>
            </w:r>
          </w:p>
        </w:tc>
        <w:tc>
          <w:tcPr>
            <w:tcW w:type="dxa" w:w="528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Follows the assignment and limits the embedding size.</w:t>
            </w:r>
          </w:p>
        </w:tc>
      </w:tr>
      <w:tr>
        <w:trPr>
          <w:cantSplit/>
        </w:trPr>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Review length</w:t>
            </w:r>
          </w:p>
        </w:tc>
        <w:tc>
          <w:tcPr>
            <w:tcW w:type="dxa" w:w="237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500 tokens</w:t>
            </w:r>
          </w:p>
        </w:tc>
        <w:tc>
          <w:tcPr>
            <w:tcW w:type="dxa" w:w="528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Follows the example and limits processing time; longer reviews lose their earlier tokens.</w:t>
            </w:r>
          </w:p>
        </w:tc>
      </w:tr>
      <w:tr>
        <w:trPr>
          <w:cantSplit/>
        </w:trPr>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Padding and mask</w:t>
            </w:r>
          </w:p>
        </w:tc>
        <w:tc>
          <w:tcPr>
            <w:tcW w:type="dxa" w:w="237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Right padding; mask_zero=True</w:t>
            </w:r>
          </w:p>
        </w:tc>
        <w:tc>
          <w:tcPr>
            <w:tcW w:type="dxa" w:w="528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Makes input lengths equal while telling the LSTM to ignore added zeros.</w:t>
            </w:r>
          </w:p>
        </w:tc>
      </w:tr>
      <w:tr>
        <w:trPr>
          <w:cantSplit/>
        </w:trPr>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Embedding size</w:t>
            </w:r>
          </w:p>
        </w:tc>
        <w:tc>
          <w:tcPr>
            <w:tcW w:type="dxa" w:w="237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32</w:t>
            </w:r>
          </w:p>
        </w:tc>
        <w:tc>
          <w:tcPr>
            <w:tcW w:type="dxa" w:w="528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Gives each word a compact learned representation without a large model.</w:t>
            </w:r>
          </w:p>
        </w:tc>
      </w:tr>
      <w:tr>
        <w:trPr>
          <w:cantSplit/>
        </w:trPr>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LSTM layer</w:t>
            </w:r>
          </w:p>
        </w:tc>
        <w:tc>
          <w:tcPr>
            <w:tcW w:type="dxa" w:w="237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1 layer; 32 units</w:t>
            </w:r>
          </w:p>
        </w:tc>
        <w:tc>
          <w:tcPr>
            <w:tcW w:type="dxa" w:w="528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Provides a small memory state while keeping CPU training manageable.</w:t>
            </w:r>
          </w:p>
        </w:tc>
      </w:tr>
      <w:tr>
        <w:trPr>
          <w:cantSplit/>
        </w:trPr>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Output</w:t>
            </w:r>
          </w:p>
        </w:tc>
        <w:tc>
          <w:tcPr>
            <w:tcW w:type="dxa" w:w="237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1 sigmoid unit; threshold 0.5</w:t>
            </w:r>
          </w:p>
        </w:tc>
        <w:tc>
          <w:tcPr>
            <w:tcW w:type="dxa" w:w="528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Matches the two sentiment classes. Probability at least 0.5 means positive.</w:t>
            </w:r>
          </w:p>
        </w:tc>
      </w:tr>
      <w:tr>
        <w:trPr>
          <w:cantSplit/>
        </w:trPr>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Loss</w:t>
            </w:r>
          </w:p>
        </w:tc>
        <w:tc>
          <w:tcPr>
            <w:tcW w:type="dxa" w:w="237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Binary cross-entropy</w:t>
            </w:r>
          </w:p>
        </w:tc>
        <w:tc>
          <w:tcPr>
            <w:tcW w:type="dxa" w:w="528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Matches binary labels and evaluates prediction probabilities, not just correct labels.</w:t>
            </w:r>
          </w:p>
        </w:tc>
      </w:tr>
      <w:tr>
        <w:trPr>
          <w:cantSplit/>
        </w:trPr>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Optimizer</w:t>
            </w:r>
          </w:p>
        </w:tc>
        <w:tc>
          <w:tcPr>
            <w:tcW w:type="dxa" w:w="237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Adam; learning rate 0.001</w:t>
            </w:r>
          </w:p>
        </w:tc>
        <w:tc>
          <w:tcPr>
            <w:tcW w:type="dxa" w:w="528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A conventional starting step size with adaptive updates; not a tuned optimum.</w:t>
            </w:r>
          </w:p>
        </w:tc>
      </w:tr>
      <w:tr>
        <w:trPr>
          <w:cantSplit/>
        </w:trPr>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Gradient clipping</w:t>
            </w:r>
          </w:p>
        </w:tc>
        <w:tc>
          <w:tcPr>
            <w:tcW w:type="dxa" w:w="237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clipnorm = 1.0</w:t>
            </w:r>
          </w:p>
        </w:tc>
        <w:tc>
          <w:tcPr>
            <w:tcW w:type="dxa" w:w="528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Limits large gradient updates. It addresses exploding gradients, not vanishing gradients.</w:t>
            </w:r>
          </w:p>
        </w:tc>
      </w:tr>
      <w:tr>
        <w:trPr>
          <w:cantSplit/>
        </w:trPr>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Batch size</w:t>
            </w:r>
          </w:p>
        </w:tc>
        <w:tc>
          <w:tcPr>
            <w:tcW w:type="dxa" w:w="237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128</w:t>
            </w:r>
          </w:p>
        </w:tc>
        <w:tc>
          <w:tcPr>
            <w:tcW w:type="dxa" w:w="528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Processes groups of reviews efficiently without using the whole dataset at once.</w:t>
            </w:r>
          </w:p>
        </w:tc>
      </w:tr>
      <w:tr>
        <w:trPr>
          <w:cantSplit/>
        </w:trPr>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Training duration</w:t>
            </w:r>
          </w:p>
        </w:tc>
        <w:tc>
          <w:tcPr>
            <w:tcW w:type="dxa" w:w="237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35 epochs</w:t>
            </w:r>
          </w:p>
        </w:tc>
        <w:tc>
          <w:tcPr>
            <w:tcW w:type="dxa" w:w="528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Allows later overfitting to be observed; training is not stopped early.</w:t>
            </w:r>
          </w:p>
        </w:tc>
      </w:tr>
      <w:tr>
        <w:trPr>
          <w:cantSplit/>
        </w:trPr>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Random seed</w:t>
            </w:r>
          </w:p>
        </w:tc>
        <w:tc>
          <w:tcPr>
            <w:tcW w:type="dxa" w:w="237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42</w:t>
            </w:r>
          </w:p>
        </w:tc>
        <w:tc>
          <w:tcPr>
            <w:tcW w:type="dxa" w:w="528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Makes the split repeatable and helps reproduce initialization; the number has no special learning advantage.</w:t>
            </w:r>
          </w:p>
        </w:tc>
      </w:tr>
    </w:tbl>
    <w:p>
      <w:pPr>
        <w:spacing w:after="140" w:line="254" w:lineRule="auto"/>
      </w:pPr>
      <w:r>
        <w:rPr>
          <w:rFonts w:ascii="Calibri" w:hAnsi="Calibri"/>
          <w:b w:val="0"/>
          <w:sz w:val="22"/>
        </w:rPr>
        <w:t>The LSTM uses the default tanh state activation and sigmoid gates. No extra dropout or weight regularization was added, keeping the baseline simple. This also leaves overfitting more visible.</w:t>
      </w:r>
    </w:p>
    <w:p>
      <w:r>
        <w:br w:type="page"/>
      </w:r>
    </w:p>
    <w:p>
      <w:pPr>
        <w:pStyle w:val="Heading2"/>
        <w:keepNext/>
        <w:spacing w:after="180"/>
      </w:pPr>
      <w:r/>
      <w:r>
        <w:t>Question 4   Initial LSTM data split and results</w:t>
      </w:r>
    </w:p>
    <w:p>
      <w:pPr>
        <w:keepNext/>
        <w:spacing w:after="140" w:line="254" w:lineRule="auto"/>
      </w:pPr>
      <w:r>
        <w:rPr>
          <w:rFonts w:ascii="Calibri" w:hAnsi="Calibri"/>
          <w:b/>
          <w:sz w:val="22"/>
        </w:rPr>
        <w:t>How the data were split</w:t>
      </w:r>
    </w:p>
    <w:p>
      <w:pPr>
        <w:spacing w:after="140" w:line="254" w:lineRule="auto"/>
      </w:pPr>
      <w:r>
        <w:rPr>
          <w:rFonts w:ascii="Calibri" w:hAnsi="Calibri"/>
          <w:b w:val="0"/>
          <w:sz w:val="22"/>
        </w:rPr>
        <w:t>I combined the 50,000 labeled reviews and used 70% for training (35,000), 10% for validation (5,000) and 20% for testing (10,000). The larger training share gives the model more examples, while the other sets allow its performance on unseen reviews to be checked. Each set contains equal numbers of positive and negative reviews.</w:t>
      </w:r>
    </w:p>
    <w:p>
      <w:pPr>
        <w:spacing w:after="140" w:line="254" w:lineRule="auto"/>
      </w:pPr>
      <w:r>
        <w:rPr>
          <w:rFonts w:ascii="Calibri" w:hAnsi="Calibri"/>
          <w:b w:val="0"/>
          <w:sz w:val="22"/>
        </w:rPr>
        <w:t>First, 20% was set aside for testing. Then 12.5% of the remaining 40,000 reviews was taken for validation, giving 5,000 reviews. Both steps use stratification and seed 42. The sets are separate. This replaces the original IMDB split; the preprocessed word IDs and vocabulary ranking remain those supplied by Keras.</w:t>
      </w:r>
    </w:p>
    <w:p>
      <w:pPr>
        <w:spacing w:after="140" w:line="254" w:lineRule="auto"/>
      </w:pPr>
      <w:r>
        <w:rPr>
          <w:rFonts w:ascii="Calibri" w:hAnsi="Calibri"/>
          <w:b w:val="0"/>
          <w:sz w:val="22"/>
        </w:rPr>
        <w:t>Only training data update the weights. After each epoch, all three sets are evaluated using the same current weights. Validation results are used to discuss overfitting. Test results are plotted for reporting, not used to choose training settings. The output files are saved in results_lstm, and model.keras contains the final epoch 35 model, not the best earlier checkpoint.</w:t>
      </w:r>
    </w:p>
    <w:p>
      <w:pPr>
        <w:keepNext/>
        <w:spacing w:after="140" w:line="254" w:lineRule="auto"/>
      </w:pPr>
      <w:r>
        <w:rPr>
          <w:rFonts w:ascii="Calibri" w:hAnsi="Calibri"/>
          <w:b/>
          <w:sz w:val="22"/>
        </w:rPr>
        <w:t>Early epochs compared with the final epoch</w:t>
      </w:r>
    </w:p>
    <w:tbl>
      <w:tblPr>
        <w:tblW w:type="auto" w:w="0"/>
        <w:tblLayout w:type="fixed"/>
        <w:tblLook w:firstColumn="1" w:firstRow="1" w:lastColumn="0" w:lastRow="0" w:noHBand="0" w:noVBand="1" w:val="04A0"/>
      </w:tblPr>
      <w:tblGrid>
        <w:gridCol w:w="792"/>
        <w:gridCol w:w="1440"/>
        <w:gridCol w:w="1440"/>
        <w:gridCol w:w="1440"/>
        <w:gridCol w:w="1440"/>
        <w:gridCol w:w="1469"/>
      </w:tblGrid>
      <w:tr>
        <w:trPr>
          <w:cantSplit/>
          <w:tblHeader/>
        </w:trPr>
        <w:tc>
          <w:tcPr>
            <w:tcW w:type="dxa" w:w="7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Epoch</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Train acc</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Val acc</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Test acc</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Val loss</w:t>
            </w:r>
          </w:p>
        </w:tc>
        <w:tc>
          <w:tcPr>
            <w:tcW w:type="dxa" w:w="146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Test loss</w:t>
            </w:r>
          </w:p>
        </w:tc>
      </w:tr>
      <w:tr>
        <w:trPr>
          <w:cantSplit/>
        </w:trPr>
        <w:tc>
          <w:tcPr>
            <w:tcW w:type="dxa" w:w="7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1</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91.51%</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88.42%</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88.22%</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0.2755</w:t>
            </w:r>
          </w:p>
        </w:tc>
        <w:tc>
          <w:tcPr>
            <w:tcW w:type="dxa" w:w="146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0.2956</w:t>
            </w:r>
          </w:p>
        </w:tc>
      </w:tr>
      <w:tr>
        <w:trPr>
          <w:cantSplit/>
        </w:trPr>
        <w:tc>
          <w:tcPr>
            <w:tcW w:type="dxa" w:w="7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2</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93.25%</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88.38%</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88.15%</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0.2828</w:t>
            </w:r>
          </w:p>
        </w:tc>
        <w:tc>
          <w:tcPr>
            <w:tcW w:type="dxa" w:w="146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0.2942</w:t>
            </w:r>
          </w:p>
        </w:tc>
      </w:tr>
      <w:tr>
        <w:trPr>
          <w:cantSplit/>
        </w:trPr>
        <w:tc>
          <w:tcPr>
            <w:tcW w:type="dxa" w:w="7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3</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94.50%</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88.54%</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88.46%</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0.2939</w:t>
            </w:r>
          </w:p>
        </w:tc>
        <w:tc>
          <w:tcPr>
            <w:tcW w:type="dxa" w:w="146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0.3071</w:t>
            </w:r>
          </w:p>
        </w:tc>
      </w:tr>
      <w:tr>
        <w:trPr>
          <w:cantSplit/>
        </w:trPr>
        <w:tc>
          <w:tcPr>
            <w:tcW w:type="dxa" w:w="7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35</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99.36%</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87.66%</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87.47%</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0.5740</w:t>
            </w:r>
          </w:p>
        </w:tc>
        <w:tc>
          <w:tcPr>
            <w:tcW w:type="dxa" w:w="146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0.6065</w:t>
            </w:r>
          </w:p>
        </w:tc>
      </w:tr>
    </w:tbl>
    <w:p>
      <w:pPr>
        <w:spacing w:after="140" w:line="254" w:lineRule="auto"/>
      </w:pPr>
      <w:r>
        <w:rPr>
          <w:rFonts w:ascii="Calibri" w:hAnsi="Calibri"/>
          <w:b w:val="0"/>
          <w:sz w:val="22"/>
        </w:rPr>
        <w:t>Accuracy is the percentage of correct labels; loss is binary cross-entropy. The lowest validation loss was 0.2755 at epoch 1. The lowest test loss was 0.2942 at epoch 2. The highest validation and test accuracies were 88.54% and 88.46%, both at epoch 3.</w:t>
      </w:r>
    </w:p>
    <w:p>
      <w:pPr>
        <w:keepNext/>
        <w:spacing w:after="140" w:line="254" w:lineRule="auto"/>
      </w:pPr>
      <w:r>
        <w:rPr>
          <w:rFonts w:ascii="Calibri" w:hAnsi="Calibri"/>
          <w:b/>
          <w:sz w:val="22"/>
        </w:rPr>
        <w:t>Why the early results matter</w:t>
      </w:r>
    </w:p>
    <w:p>
      <w:pPr>
        <w:spacing w:after="140" w:line="254" w:lineRule="auto"/>
      </w:pPr>
      <w:r>
        <w:rPr>
          <w:rFonts w:ascii="Calibri" w:hAnsi="Calibri"/>
          <w:b w:val="0"/>
          <w:sz w:val="22"/>
        </w:rPr>
        <w:t>I expected a longer run to keep improving performance, so the early peak was unexpected. However, it is consistent with overfitting: the model learns useful general patterns quickly, then increasingly fits details of the training reviews. By epoch 35, training accuracy reaches 99.36%, while validation and test accuracy are 87.66% and 87.47%. Training loss falls from 0.2275 to 0.0275, while validation loss rises overall from 0.2755 to 0.5740.</w:t>
      </w:r>
    </w:p>
    <w:p>
      <w:pPr>
        <w:spacing w:after="140" w:line="254" w:lineRule="auto"/>
      </w:pPr>
      <w:r>
        <w:rPr>
          <w:rFonts w:ascii="Calibri" w:hAnsi="Calibri"/>
          <w:b w:val="0"/>
          <w:sz w:val="22"/>
        </w:rPr>
        <w:t>The first signs appear after epoch 1, as training loss falls but validation loss rises in epochs 2 and 3. The later trend supports overfitting, although the exact onset cannot be identified precisely from one fluctuating run. Loss can increase while accuracy changes little because cross-entropy penalizes confident wrong predictions strongly; accuracy only counts correct labels.</w:t>
      </w:r>
    </w:p>
    <w:p>
      <w:pPr>
        <w:spacing w:after="140" w:line="254" w:lineRule="auto"/>
      </w:pPr>
      <w:r>
        <w:rPr>
          <w:rFonts w:ascii="Calibri" w:hAnsi="Calibri"/>
          <w:b w:val="0"/>
          <w:sz w:val="22"/>
        </w:rPr>
        <w:t>Epoch 3 improves on epoch 1 by only 0.12 percentage points on validation (6 reviews) and 0.24 points on test (24 reviews). These small differences do not establish a reliably better model across new data or random seeds. Epoch 1 is best here by validation loss, while epoch 3 is best by accuracy. Repeated runs and paired prediction comparisons would be needed to assess reliability; aggregate curves alone cannot establish statistical significance.</w:t>
      </w:r>
    </w:p>
    <w:p>
      <w:r>
        <w:br w:type="page"/>
      </w:r>
    </w:p>
    <w:p>
      <w:pPr>
        <w:pStyle w:val="Heading2"/>
        <w:keepNext/>
        <w:spacing w:after="180"/>
      </w:pPr>
      <w:r/>
      <w:r>
        <w:t>Question 4   Initial LSTM learning curves</w:t>
      </w:r>
    </w:p>
    <w:p>
      <w:pPr>
        <w:keepNext/>
        <w:spacing w:after="60"/>
      </w:pPr>
      <w:r>
        <w:drawing>
          <wp:inline>
            <wp:extent cx="5349240" cy="3056709"/>
            <wp:docPr id="1" name="Picture 1"/>
            <wp:cNvGraphicFramePr>
              <a:graphicFrameLocks noChangeAspect="1"/>
            </wp:cNvGraphicFramePr>
            <a:graphic>
              <a:graphicData uri="http://schemas.openxmlformats.org/drawingml/2006/picture">
                <pic:pic>
                  <pic:nvPicPr>
                    <pic:cNvPr id="0" name="accuracy.png"/>
                    <pic:cNvPicPr/>
                  </pic:nvPicPr>
                  <pic:blipFill>
                    <a:blip r:embed="rId7"/>
                    <a:stretch>
                      <a:fillRect/>
                    </a:stretch>
                  </pic:blipFill>
                  <pic:spPr>
                    <a:xfrm>
                      <a:off x="0" y="0"/>
                      <a:ext cx="5349240" cy="3056709"/>
                    </a:xfrm>
                    <a:prstGeom prst="rect"/>
                  </pic:spPr>
                </pic:pic>
              </a:graphicData>
            </a:graphic>
          </wp:inline>
        </w:drawing>
      </w:r>
    </w:p>
    <w:p>
      <w:pPr>
        <w:spacing w:after="140" w:line="254" w:lineRule="auto"/>
      </w:pPr>
      <w:r>
        <w:rPr>
          <w:rFonts w:ascii="Calibri" w:hAnsi="Calibri"/>
          <w:b w:val="0"/>
          <w:sz w:val="22"/>
        </w:rPr>
        <w:t>Figure 1. Accuracy across 35 epochs. Training accuracy rises, while validation and test accuracy remain below their epoch 3 peaks.</w:t>
      </w:r>
    </w:p>
    <w:p>
      <w:pPr>
        <w:keepNext/>
        <w:spacing w:after="60"/>
      </w:pPr>
      <w:r>
        <w:drawing>
          <wp:inline>
            <wp:extent cx="5349240" cy="3056709"/>
            <wp:docPr id="2" name="Picture 2"/>
            <wp:cNvGraphicFramePr>
              <a:graphicFrameLocks noChangeAspect="1"/>
            </wp:cNvGraphicFramePr>
            <a:graphic>
              <a:graphicData uri="http://schemas.openxmlformats.org/drawingml/2006/picture">
                <pic:pic>
                  <pic:nvPicPr>
                    <pic:cNvPr id="0" name="loss.png"/>
                    <pic:cNvPicPr/>
                  </pic:nvPicPr>
                  <pic:blipFill>
                    <a:blip r:embed="rId8"/>
                    <a:stretch>
                      <a:fillRect/>
                    </a:stretch>
                  </pic:blipFill>
                  <pic:spPr>
                    <a:xfrm>
                      <a:off x="0" y="0"/>
                      <a:ext cx="5349240" cy="3056709"/>
                    </a:xfrm>
                    <a:prstGeom prst="rect"/>
                  </pic:spPr>
                </pic:pic>
              </a:graphicData>
            </a:graphic>
          </wp:inline>
        </w:drawing>
      </w:r>
    </w:p>
    <w:p>
      <w:pPr>
        <w:spacing w:after="140" w:line="254" w:lineRule="auto"/>
      </w:pPr>
      <w:r>
        <w:rPr>
          <w:rFonts w:ascii="Calibri" w:hAnsi="Calibri"/>
          <w:b w:val="0"/>
          <w:sz w:val="22"/>
        </w:rPr>
        <w:t>Figure 2. Binary cross-entropy across 35 epochs. The widening gap between training and held-out loss indicates overfitting. The dashed line marks the lowest validation loss at epoch 1.</w:t>
      </w:r>
    </w:p>
    <w:p>
      <w:pPr>
        <w:keepNext/>
        <w:spacing w:after="140" w:line="254" w:lineRule="auto"/>
      </w:pPr>
      <w:r>
        <w:rPr>
          <w:rFonts w:ascii="Calibri" w:hAnsi="Calibri"/>
          <w:b/>
          <w:sz w:val="22"/>
        </w:rPr>
        <w:t>Overall conclusion</w:t>
      </w:r>
    </w:p>
    <w:p>
      <w:pPr>
        <w:spacing w:after="140" w:line="254" w:lineRule="auto"/>
      </w:pPr>
      <w:r>
        <w:rPr>
          <w:rFonts w:ascii="Calibri" w:hAnsi="Calibri"/>
          <w:b w:val="0"/>
          <w:sz w:val="22"/>
        </w:rPr>
        <w:t>The LSTM learned to classify sentiment, reaching 88.46% test accuracy at epoch 3 in this run. Continuing to epoch 35 did not improve generalization. If selecting a checkpoint by validation loss, epoch 1 would be preferred, but that does not prove it will always have the highest accuracy on other data. The saved final model achieves 87.47% test accuracy. The reported observations come from one split and one training run.</w:t>
      </w:r>
    </w:p>
    <w:p>
      <w:pPr>
        <w:spacing w:after="140" w:line="254" w:lineRule="auto"/>
      </w:pPr>
      <w:r>
        <w:rPr>
          <w:rFonts w:ascii="Calibri" w:hAnsi="Calibri"/>
          <w:b w:val="0"/>
          <w:sz w:val="22"/>
        </w:rPr>
        <w:t>Results source: results_lstm/history.json and the saved accuracy and loss graphs from the 35-epoch run. The current imdb_lstm.py now runs the selected GRU; these figures describe the earlier LSTM baseline.</w:t>
      </w:r>
    </w:p>
    <w:sectPr>
      <w:pgSz w:h="16834" w:w="11909" w:orient="portrait"/>
      <w:pgMar w:bottom="1008" w:top="1008" w:left="1224" w:right="122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Black">
    <w:embedRegular w:fontKey="{00000000-0000-0000-0000-000000000000}" r:id="rId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6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000000"/>
      <w:sz w:val="30"/>
      <w:szCs w:val="30"/>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000000"/>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pPr>
    <w:rPr>
      <w:rFonts w:ascii="Calibri" w:cs="Calibri" w:eastAsia="Calibri" w:hAnsi="Calibri"/>
      <w:color w:val="000000"/>
      <w:sz w:val="46"/>
      <w:szCs w:val="46"/>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000000"/>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ArialBlack-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wtJ5qFCWrmeC0wwDjJWNCoxFDA==">CgMxLjAaHwoBMBIaChgICVIUChJ0YWJsZS5lOHVpdDludXZ3bjUyDmgudGpmY29vbHpnc2cwMg5oLngzNWU1MWQ5ZXZnczIOaC5na2N0Mzh5eTY3NnAyDmguZ2JmempzY3VhNGs4OAByITFsc2lZdDIwYWtTNmxZdVZNZnFYV0VFbVdYX2d1VFBkTw==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Charis Aletraris</dc:creator>
</cp:coreProperties>
</file>