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Fidelity Probe — Başlık 1</w:t>
      </w:r>
    </w:p>
    <w:p>
      <w:r>
        <w:t xml:space="preserve">Normal paragraf: </w:t>
      </w:r>
      <w:r>
        <w:rPr>
          <w:b/>
        </w:rPr>
        <w:t xml:space="preserve">kalın</w:t>
      </w:r>
      <w:r>
        <w:t xml:space="preserve">, </w:t>
      </w:r>
      <w:r>
        <w:rPr>
          <w:i/>
        </w:rPr>
        <w:t xml:space="preserve">italik</w:t>
      </w:r>
      <w:r>
        <w:t xml:space="preserve">, </w:t>
      </w:r>
      <w:r>
        <w:rPr>
          <w:u w:val="single"/>
        </w:rPr>
        <w:t xml:space="preserve">altı çizili</w:t>
      </w:r>
      <w:r>
        <w:t xml:space="preserve">, </w:t>
      </w:r>
      <w:r>
        <w:rPr>
          <w:strike/>
        </w:rPr>
        <w:t xml:space="preserve">üstü çizili</w:t>
      </w:r>
      <w:r>
        <w:t xml:space="preserve">, </w:t>
      </w:r>
      <w:r>
        <w:rPr>
          <w:color w:val="C0392B"/>
        </w:rPr>
        <w:t xml:space="preserve">kırmızı</w:t>
      </w:r>
      <w:r>
        <w:t xml:space="preserve">, </w:t>
      </w:r>
      <w:r>
        <w:rPr>
          <w:highlight w:val="yellow"/>
        </w:rPr>
        <w:t xml:space="preserve">vurgulu</w:t>
      </w:r>
      <w:r>
        <w:t xml:space="preserve">.</w:t>
      </w:r>
    </w:p>
    <w:p>
      <w:pPr>
        <w:pStyle w:val="Heading2"/>
      </w:pPr>
      <w:r>
        <w:t xml:space="preserve">Başlık 2 — Türkçe: ğüşiöçİĞÜŞÖÇ</w:t>
      </w:r>
    </w:p>
    <w:p>
      <w:r>
        <w:t xml:space="preserve">Tema renkleri: </w:t>
      </w:r>
      <w:r>
        <w:rPr>
          <w:color w:val="auto" w:themeColor="accent1"/>
          <w:b/>
        </w:rPr>
        <w:t xml:space="preserve">accent1 düz</w:t>
      </w:r>
      <w:r>
        <w:t xml:space="preserve"> · </w:t>
      </w:r>
      <w:r>
        <w:rPr>
          <w:color w:val="auto" w:themeColor="accent1" w:themeTint="99"/>
          <w:b/>
        </w:rPr>
        <w:t xml:space="preserve">accent1 %60 açık</w:t>
      </w:r>
      <w:r>
        <w:t xml:space="preserve"> · </w:t>
      </w:r>
      <w:r>
        <w:rPr>
          <w:color w:val="auto" w:themeColor="accent1" w:themeShade="BF"/>
          <w:b/>
        </w:rPr>
        <w:t xml:space="preserve">accent1 %75 koyu</w:t>
      </w:r>
      <w:r>
        <w:t xml:space="preserve"> · </w:t>
      </w:r>
      <w:r>
        <w:rPr>
          <w:color w:val="auto" w:themeColor="accent2"/>
          <w:b/>
        </w:rPr>
        <w:t xml:space="preserve">accent2</w:t>
      </w:r>
    </w:p>
    <w:p>
      <w:pPr>
        <w:numPr>
          <w:ilvl w:val="0"/>
          <w:numId w:val="1"/>
        </w:numPr>
      </w:pPr>
      <w:r>
        <w:t xml:space="preserve">Madde bir</w:t>
      </w:r>
    </w:p>
    <w:p>
      <w:pPr>
        <w:numPr>
          <w:ilvl w:val="0"/>
          <w:numId w:val="1"/>
        </w:numPr>
      </w:pPr>
      <w:r>
        <w:t xml:space="preserve">Madde iki</w:t>
      </w:r>
    </w:p>
    <w:p>
      <w:pPr>
        <w:numPr>
          <w:ilvl w:val="1"/>
          <w:numId w:val="1"/>
        </w:numPr>
      </w:pPr>
      <w:r>
        <w:t xml:space="preserve">Alt madde</w:t>
      </w:r>
    </w:p>
    <w:p>
      <w:pPr>
        <w:numPr>
          <w:ilvl w:val="0"/>
          <w:numId w:val="2"/>
        </w:numPr>
      </w:pPr>
      <w:r>
        <w:t xml:space="preserve">Sıralı bir</w:t>
      </w:r>
    </w:p>
    <w:p>
      <w:pPr>
        <w:numPr>
          <w:ilvl w:val="0"/>
          <w:numId w:val="2"/>
        </w:numPr>
      </w:pPr>
      <w:r>
        <w:t xml:space="preserve">Sıralı iki</w:t>
      </w:r>
    </w:p>
    <w:tbl>
      <w:tblPr>
        <w:tblW w:w="9000" w:type="dxa"/>
        <w:tblBorders>
          <w:top w:val="single" w:sz="6" w:space="0" w:color="8899AA"/>
          <w:left w:val="single" w:sz="6" w:space="0" w:color="8899AA"/>
          <w:bottom w:val="single" w:sz="6" w:space="0" w:color="8899AA"/>
          <w:right w:val="single" w:sz="6" w:space="0" w:color="8899AA"/>
          <w:insideH w:val="single" w:sz="6" w:space="0" w:color="8899AA"/>
          <w:insideV w:val="single" w:sz="6" w:space="0" w:color="8899AA"/>
        </w:tblBorders>
      </w:tblPr>
      <w:tblGrid>
        <w:gridCol w:w="3600"/>
        <w:gridCol w:w="2700"/>
        <w:gridCol w:w="2700"/>
      </w:tblGrid>
      <w:tr>
        <w:tc>
          <w:tcPr>
            <w:tcW w:w="9000" w:type="dxa"/>
            <w:gridSpan w:val="3"/>
            <w:shd w:val="clear" w:color="auto" w:fill="1F4E79"/>
          </w:tcPr>
          <w:p>
            <w:pPr>
              <w:jc w:val="center"/>
            </w:pPr>
            <w:r>
              <w:rPr>
                <w:b/>
                <w:color w:val="FFFFFF"/>
              </w:rPr>
              <w:t xml:space="preserve">2026 Ürün Tablosu</w:t>
            </w:r>
          </w:p>
        </w:tc>
      </w:tr>
      <w:tr>
        <w:tc>
          <w:tcPr>
            <w:tcW w:w="3600" w:type="dxa"/>
            <w:shd w:val="clear" w:color="auto" w:themeFill="accent1" w:themeFillTint="66"/>
          </w:tcPr>
          <w:p>
            <w:r>
              <w:rPr>
                <w:b/>
              </w:rPr>
              <w:t xml:space="preserve">Ürün</w:t>
            </w:r>
          </w:p>
        </w:tc>
        <w:tc>
          <w:tcPr>
            <w:tcW w:w="2700" w:type="dxa"/>
            <w:shd w:val="clear" w:color="auto" w:themeFill="accent1" w:themeFillTint="66"/>
          </w:tcPr>
          <w:p>
            <w:r>
              <w:rPr>
                <w:b/>
              </w:rPr>
              <w:t xml:space="preserve">Adet</w:t>
            </w:r>
          </w:p>
        </w:tc>
        <w:tc>
          <w:tcPr>
            <w:tcW w:w="2700" w:type="dxa"/>
            <w:shd w:val="clear" w:color="auto" w:themeFill="accent1" w:themeFillTint="66"/>
          </w:tcPr>
          <w:p>
            <w:r>
              <w:rPr>
                <w:b/>
              </w:rPr>
              <w:t xml:space="preserve">Fiyat</w:t>
            </w:r>
          </w:p>
        </w:tc>
      </w:tr>
      <w:tr>
        <w:tc>
          <w:tcPr>
            <w:tcW w:w="3600" w:type="dxa"/>
          </w:tcPr>
          <w:p>
            <w:r>
              <w:t xml:space="preserve">Kalem</w:t>
            </w:r>
          </w:p>
        </w:tc>
        <w:tc>
          <w:tcPr>
            <w:tcW w:w="2700" w:type="dxa"/>
          </w:tcPr>
          <w:p>
            <w:pPr>
              <w:jc w:val="right"/>
            </w:pPr>
            <w:r>
              <w:t xml:space="preserve">12</w:t>
            </w:r>
          </w:p>
        </w:tc>
        <w:tc>
          <w:tcPr>
            <w:tcW w:w="2700" w:type="dxa"/>
          </w:tcPr>
          <w:p>
            <w:pPr>
              <w:jc w:val="right"/>
            </w:pPr>
            <w:r>
              <w:t xml:space="preserve">45,00 TL</w:t>
            </w:r>
          </w:p>
        </w:tc>
      </w:tr>
      <w:tr>
        <w:tc>
          <w:tcPr>
            <w:tcW w:w="3600" w:type="dxa"/>
          </w:tcPr>
          <w:p>
            <w:r>
              <w:t xml:space="preserve">Defter</w:t>
            </w:r>
          </w:p>
        </w:tc>
        <w:tc>
          <w:tcPr>
            <w:tcW w:w="2700" w:type="dxa"/>
          </w:tcPr>
          <w:p>
            <w:pPr>
              <w:jc w:val="right"/>
            </w:pPr>
            <w:r>
              <w:t xml:space="preserve">3</w:t>
            </w:r>
          </w:p>
        </w:tc>
        <w:tc>
          <w:tcPr>
            <w:tcW w:w="2700" w:type="dxa"/>
          </w:tcPr>
          <w:p>
            <w:pPr>
              <w:jc w:val="right"/>
            </w:pPr>
            <w:r>
              <w:t xml:space="preserve">120,50 TL</w:t>
            </w:r>
          </w:p>
        </w:tc>
      </w:tr>
      <w:tr>
        <w:tc>
          <w:tcPr>
            <w:tcW w:w="3600" w:type="dxa"/>
          </w:tcPr>
          <w:p>
            <w:r>
              <w:t xml:space="preserve">Çanta — deri</w:t>
            </w:r>
          </w:p>
        </w:tc>
        <w:tc>
          <w:tcPr>
            <w:tcW w:w="2700" w:type="dxa"/>
          </w:tcPr>
          <w:p>
            <w:pPr>
              <w:jc w:val="right"/>
            </w:pPr>
            <w:r>
              <w:t xml:space="preserve">7</w:t>
            </w:r>
          </w:p>
        </w:tc>
        <w:tc>
          <w:tcPr>
            <w:tcW w:w="2700" w:type="dxa"/>
          </w:tcPr>
          <w:p>
            <w:pPr>
              <w:jc w:val="right"/>
            </w:pPr>
            <w:r>
              <w:t xml:space="preserve">899,90 TL</w:t>
            </w:r>
          </w:p>
        </w:tc>
      </w:tr>
    </w:tbl>
    <w:p>
      <w:r>
        <w:t xml:space="preserve"/>
      </w:r>
    </w:p>
    <w:p>
      <w:pPr>
        <w:jc w:val="center"/>
      </w:pPr>
      <w:r>
        <w:t xml:space="preserve">Ortalanmış satır</w:t>
      </w:r>
    </w:p>
    <w:p>
      <w:pPr>
        <w:jc w:val="right"/>
      </w:pPr>
      <w:r>
        <w:t xml:space="preserve">Sağa yaslı satır</w:t>
      </w:r>
    </w:p>
    <w:p>
      <w:pPr>
        <w:jc w:val="both"/>
      </w:pPr>
      <w:r>
        <w:t xml:space="preserve">İki yana yaslı uzun bir paragraf. İki yana yaslı uzun bir paragraf. İki yana yaslı uzun bir paragraf. İki yana yaslı uzun bir paragraf. İki yana yaslı uzun bir paragraf. İki yana yaslı uzun bir paragraf. </w:t>
      </w:r>
    </w:p>
    <w:p>
      <w:r>
        <w:drawing>
          <wp:inline distT="0" distB="0" distL="0" distR="0">
            <wp:extent cx="2286000" cy="1428750"/>
            <wp:docPr id="1" name="Resim 1"/>
            <a:graphic>
              <a:graphicData uri="http://schemas.openxmlformats.org/drawingml/2006/picture">
                <pic:pic>
                  <pic:nvPicPr>
                    <pic:cNvPr id="0" name="gradient.png"/>
                    <pic:cNvPicPr/>
                  </pic:nvPicPr>
                  <pic:blipFill>
                    <a:blip r:embed="rId5"/>
                    <a:stretch>
                      <a:fillRect/>
                    </a:stretch>
                  </pic:blipFill>
                  <pic:spPr>
                    <a:xfrm>
                      <a:off x="0" y="0"/>
                      <a:ext cx="2286000" cy="1428750"/>
                    </a:xfrm>
                    <a:prstGeom prst="rect">
                      <a:avLst/>
                    </a:prstGeom>
                  </pic:spPr>
                </pic:pic>
              </a:graphicData>
            </a:graphic>
          </wp:inline>
        </w:drawing>
      </w:r>
    </w:p>
    <w:p>
      <w:r>
        <w:br w:type="page"/>
      </w:r>
    </w:p>
    <w:p>
      <w:pPr>
        <w:pStyle w:val="Heading2"/>
      </w:pPr>
      <w:r>
        <w:t xml:space="preserve">İkinci sayfa — sayfa sonu çalıştıysa burada başlar.</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lvl w:ilvl="1">
      <w:start w:val="1"/>
      <w:numFmt w:val="bullet"/>
      <w:lvlText w:val="◦"/>
      <w:lvlJc w:val="left"/>
      <w:pPr>
        <w:ind w:left="1440" w:hanging="360"/>
      </w:p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pPr>
      <w:spacing w:before="240" w:after="120"/>
      <w:outlineLvl w:val="0"/>
    </w:pPr>
    <w:rPr>
      <w:b/>
      <w:sz w:val="40"/>
      <w:color w:val="1F4E79"/>
    </w:rPr>
  </w:style>
  <w:style w:type="paragraph" w:styleId="Heading2">
    <w:name w:val="heading 2"/>
    <w:pPr>
      <w:spacing w:before="200" w:after="100"/>
      <w:outlineLvl w:val="1"/>
    </w:pPr>
    <w:rPr>
      <w:b/>
      <w:sz w:val="30"/>
      <w:color w:val="2E75B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5" Type="http://schemas.openxmlformats.org/officeDocument/2006/relationships/image" Target="media/gradient.png"/><Relationship Id="rId6" Type="http://schemas.openxmlformats.org/officeDocument/2006/relationships/theme" Target="theme/theme1.xml"/></Relationships>
</file>

<file path=word/theme/theme1.xml><?xml version="1.0" encoding="utf-8"?>
<a:theme xmlns:a="http://schemas.openxmlformats.org/drawingml/2006/main" name="Probe">
  <a:themeElements>
    <a:clrScheme name="Prob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robe">
      <a:majorFont>
        <a:latin typeface="Cambria"/>
      </a:majorFont>
      <a:minorFont>
        <a:latin typeface="Calibri"/>
      </a:minorFont>
    </a:fontScheme>
    <a:fmtScheme name="Probe">
      <a:fillStyleLst>
        <a:solidFill>
          <a:schemeClr val="phClr"/>
        </a:solidFill>
      </a:fillStyleLst>
      <a:lnStyleLst>
        <a:ln>
          <a:solidFill>
            <a:schemeClr val="phClr"/>
          </a:solidFill>
        </a:ln>
      </a:lnStyleLst>
      <a:effectStyleLst>
        <a:effectStyle>
          <a:effectLst/>
        </a:effectStyle>
      </a:effectStyleLst>
      <a:bgFillStyleLst>
        <a:solidFill>
          <a:schemeClr val="phClr"/>
        </a:solidFill>
      </a:bgFillStyleLst>
    </a:fmtScheme>
  </a:themeElements>
</a:theme>
</file>