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Enterprise Vulnerability Remediation Program</w:t>
      </w:r>
    </w:p>
    <w:p>
      <w:pPr>
        <w:spacing w:after="20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Project Record | SEC-PROJ-2026-001</w:t>
      </w:r>
    </w:p>
    <w:p>
      <w:pPr>
        <w:pBdr>
          <w:bottom w:val="single" w:color="2E75B6" w:sz="6" w:space="1"/>
        </w:pBdr>
        <w:spacing w:after="16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Project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Project Name: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Enterprise Vulnerability Remediation Program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Project ID: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SEC-PROJ-2026-001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Objective: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Reduce critical vulnerabilities by 95% within FY2026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Owner: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Security Operations Manager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Executive Sponsor: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CISO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Status: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Start Date: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2026-01-15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Target Completion: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2026-12-31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Current Metrics</w:t>
      </w:r>
    </w:p>
    <w:p>
      <w:pPr>
        <w:pBdr>
          <w:bottom w:val="single" w:color="2E75B6" w:sz="6" w:space="1"/>
        </w:pBdr>
        <w:spacing w:after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Critical Vulnerabilities Open: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High Vulnerabilities Open: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48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Medium Vulnerabilities Open: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132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Open Remediation Projects: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Mean Time to Remediate (MTTR):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 Days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Critical SLA Compliance: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98%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5B6"/>
                <w:sz w:val="20"/>
                <w:szCs w:val="20"/>
              </w:rPr>
              <w:t xml:space="preserve">High SLA Compliance: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94%</w:t>
            </w:r>
          </w:p>
        </w:tc>
      </w:tr>
    </w:tbl>
    <w:p>
      <w:pPr>
        <w:spacing w:after="12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Progress Summary</w:t>
      </w:r>
    </w:p>
    <w:p>
      <w:pPr>
        <w:pBdr>
          <w:bottom w:val="single" w:color="2E75B6" w:sz="6" w:space="1"/>
        </w:pBdr>
        <w:spacing w:after="160"/>
      </w:pPr>
    </w:p>
    <w:p>
      <w:p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 Enterprise Vulnerability Remediation Program is progressing on schedule. Critical vulnerability counts have been reduced from an initial baseline of 87 to the current 12, representing an 86% reduction. Remediation activities are coordinated across Security Operations, Infrastructure, and Application Owner teams through weekly review meetings.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2026-06-12T06:52:31.622Z</dcterms:created>
  <dcterms:modified xsi:type="dcterms:W3CDTF">2026-06-12T06:52:31.622Z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