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User Account Audit Report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Report ID: </w:t>
      </w:r>
      <w:r>
        <w:rPr>
          <w:sz w:val="20"/>
          <w:szCs w:val="20"/>
        </w:rPr>
        <w:t xml:space="preserve">AUD-USR-2024-Q4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Audit Period: </w:t>
      </w:r>
      <w:r>
        <w:rPr>
          <w:sz w:val="20"/>
          <w:szCs w:val="20"/>
        </w:rPr>
        <w:t xml:space="preserve">01 October 2024 – 30 November 2024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Internal Audit Team — Raj Patel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Date Issued: </w:t>
      </w:r>
      <w:r>
        <w:rPr>
          <w:sz w:val="20"/>
          <w:szCs w:val="20"/>
        </w:rPr>
        <w:t xml:space="preserve">05 December 2024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CONFIDENTIAL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00"/>
      </w:pPr>
      <w:r>
        <w:rPr>
          <w:sz w:val="20"/>
          <w:szCs w:val="20"/>
        </w:rPr>
        <w:t xml:space="preserve">This report documents the findings of the quarterly user account audit conducted across all enterprise systems. A total of 247 accounts were reviewed. Three (3) critical findings were identified: two (2) terminated employee accounts with active access and one (1) orphaned account with no identifiable owner.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Audit Scope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Active Directory (Windows domain accounts)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AWS IAM Console accounts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Salesforce CRM user licenses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ServiceNow platform accounts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VPN access profiles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Account Inventory — 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400"/>
        <w:gridCol w:w="1000"/>
        <w:gridCol w:w="900"/>
        <w:gridCol w:w="1000"/>
        <w:gridCol w:w="800"/>
        <w:gridCol w:w="560"/>
      </w:tblGrid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Login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U001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alice.johnson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Alice Johnson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2024-10-15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U002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bob.chen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Bob Chen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2024-11-02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U003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carol.white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Carol White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2024-09-28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U004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david.lee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David Lee (Term.)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2023-03-01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U005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svc-backup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Service Acct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Ops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2024-10-01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U006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admin.ops01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 Admin Account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Ops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Privileged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2024-11-10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U007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temp.vendor99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TechCorp Vendor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2022-07-14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U008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emma.davis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Emma Davis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2024-10-30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U009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frank.nguyen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Frank Nguyen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2024-11-05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U010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ghost.user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Unknown/Orphan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2021-01-01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500"/>
        <w:gridCol w:w="1500"/>
      </w:tblGrid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Terminated Employee Access (U004)</w:t>
            </w:r>
          </w:p>
        </w:tc>
        <w:tc>
          <w:tcPr>
            <w:tcW w:type="dxa" w:w="3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– Account active 9 months post-termination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 immediately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Expired Vendor Account (U007)</w:t>
            </w:r>
          </w:p>
        </w:tc>
        <w:tc>
          <w:tcPr>
            <w:tcW w:type="dxa" w:w="3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 – Vendor contract expired; access not revoked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 and review vendor agreement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Dec 2024</w:t>
            </w:r>
          </w:p>
        </w:tc>
      </w:tr>
      <w:tr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Orphaned Account (U010)</w:t>
            </w:r>
          </w:p>
        </w:tc>
        <w:tc>
          <w:tcPr>
            <w:tcW w:type="dxa" w:w="3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– No owner identified; unknown purpose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Investigate and disable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Dec 2024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Auditor Sign-Off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Lead Auditor: </w:t>
      </w:r>
      <w:r>
        <w:rPr>
          <w:sz w:val="20"/>
          <w:szCs w:val="20"/>
        </w:rPr>
        <w:t xml:space="preserve">Raj Patel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Reviewed By: </w:t>
      </w:r>
      <w:r>
        <w:rPr>
          <w:sz w:val="20"/>
          <w:szCs w:val="20"/>
        </w:rPr>
        <w:t xml:space="preserve">Sarah Mitchell (CISO)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Report Status: </w:t>
      </w:r>
      <w:r>
        <w:rPr>
          <w:sz w:val="20"/>
          <w:szCs w:val="20"/>
        </w:rPr>
        <w:t xml:space="preserve">FINAL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2026-06-12T07:28:16.589Z</dcterms:created>
  <dcterms:modified xsi:type="dcterms:W3CDTF">2026-06-12T07:28:16.589Z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