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Access Provisioning Records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Record Period: </w:t>
      </w:r>
      <w:r>
        <w:rPr>
          <w:sz w:val="20"/>
          <w:szCs w:val="20"/>
        </w:rPr>
        <w:t xml:space="preserve">November 2024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System: </w:t>
      </w:r>
      <w:r>
        <w:rPr>
          <w:sz w:val="20"/>
          <w:szCs w:val="20"/>
        </w:rPr>
        <w:t xml:space="preserve">ServiceNow ITSM — IAM Module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Maintained By: </w:t>
      </w:r>
      <w:r>
        <w:rPr>
          <w:sz w:val="20"/>
          <w:szCs w:val="20"/>
        </w:rPr>
        <w:t xml:space="preserve">IT Operations — Access Management Team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INTERNAL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Purpose</w:t>
      </w:r>
    </w:p>
    <w:p>
      <w:pPr>
        <w:spacing w:after="100"/>
      </w:pPr>
      <w:r>
        <w:rPr>
          <w:sz w:val="20"/>
          <w:szCs w:val="20"/>
        </w:rPr>
        <w:t xml:space="preserve">This document records all access provisioning and de-provisioning activities performed during the reporting period. Each record includes the ticket reference, requester, access granted/revoked, approval chain, and completion status to support audit and compliance requirements.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Provisioning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100"/>
        <w:gridCol w:w="900"/>
        <w:gridCol w:w="900"/>
        <w:gridCol w:w="1400"/>
        <w:gridCol w:w="1200"/>
        <w:gridCol w:w="600"/>
        <w:gridCol w:w="900"/>
        <w:gridCol w:w="660"/>
      </w:tblGrid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#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Date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Role/Title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Granted/Revoked</w:t>
            </w:r>
          </w:p>
        </w:tc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PR-2024-1101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2024-11-01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Alice Johnson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 Analyst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Finance, SharePoint Finance, VPN</w:t>
            </w:r>
          </w:p>
        </w:tc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(M. Brown)</w:t>
            </w:r>
          </w:p>
        </w:tc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2024-11-01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PR-2024-1108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2024-11-08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Bob Chen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DevOps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Dev, GitHub Org, Jira, Confluence, VPN</w:t>
            </w:r>
          </w:p>
        </w:tc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(T. Kim)</w:t>
            </w:r>
          </w:p>
        </w:tc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2024-11-08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PR-2024-1115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2024-11-15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 White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Coordinator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Workday HRMS, O365, SharePoint HR</w:t>
            </w:r>
          </w:p>
        </w:tc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 (L. Osei)</w:t>
            </w:r>
          </w:p>
        </w:tc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2024-11-15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PR-2024-1120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2024-11-20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David Lee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Mgr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Offboarding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systems – revoke</w:t>
            </w:r>
          </w:p>
        </w:tc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(Termination)</w:t>
            </w:r>
          </w:p>
        </w:tc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2024-11-20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PR-2024-1125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2024-11-25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Emma Davis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Change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Add: LegalTech; Remove: Sales CRM</w:t>
            </w:r>
          </w:p>
        </w:tc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(P. Sharma)</w:t>
            </w:r>
          </w:p>
        </w:tc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IT-OPS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2024-11-26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PR-2024-1128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2024-11-28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TechCorp (Vendor)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3rd Party Vendor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 Access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Environment (read-only, 30 days)</w:t>
            </w:r>
          </w:p>
        </w:tc>
        <w:tc>
          <w:tcPr>
            <w:tcW w:type="dxa" w:w="1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Procurement + Data Owner</w:t>
            </w:r>
          </w:p>
        </w:tc>
        <w:tc>
          <w:tcPr>
            <w:tcW w:type="dxa" w:w="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IT-SEC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2024-11-28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Process Notes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provisioning requests are initiated via ServiceNow self-service portal or HR system integration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Manager approval required for all standard access requests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CISO approval required for privileged and sensitive data access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Offboarding requests are auto-triggered by HR system upon termination entry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Vendor access requires dual approval: Procurement and Data Owner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provisioning activities are logged with timestamp and approver identity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SLA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Type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 Target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 (%)</w:t>
            </w:r>
          </w:p>
        </w:tc>
      </w:tr>
      <w:t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(Standard)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business day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Change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business days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</w:tr>
      <w:t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Offboarding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 hours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Access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business days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2026-06-12T07:28:16.707Z</dcterms:created>
  <dcterms:modified xsi:type="dcterms:W3CDTF">2026-06-12T07:28:16.707Z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