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b/>
          <w:bCs/>
          <w:color w:val="1F3864"/>
          <w:sz w:val="36"/>
          <w:szCs w:val="36"/>
        </w:rPr>
        <w:t xml:space="preserve">Multi-Factor Authentication (MFA) Configuration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Document ID: </w:t>
      </w:r>
      <w:r>
        <w:rPr>
          <w:sz w:val="20"/>
          <w:szCs w:val="20"/>
        </w:rPr>
        <w:t xml:space="preserve">CFG-SEC-MFA-2024</w:t>
      </w:r>
    </w:p>
    <w:p>
      <w:pPr>
        <w:spacing w:after="60"/>
      </w:pPr>
      <w:r>
        <w:rPr>
          <w:b/>
          <w:bCs/>
          <w:sz w:val="20"/>
          <w:szCs w:val="20"/>
        </w:rPr>
        <w:t xml:space="preserve">Version: </w:t>
      </w:r>
      <w:r>
        <w:rPr>
          <w:sz w:val="20"/>
          <w:szCs w:val="20"/>
        </w:rPr>
        <w:t xml:space="preserve">1.4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Owner: </w:t>
      </w:r>
      <w:r>
        <w:rPr>
          <w:sz w:val="20"/>
          <w:szCs w:val="20"/>
        </w:rPr>
        <w:t xml:space="preserve">IT Security — Identity Team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Last Reviewed: </w:t>
      </w:r>
      <w:r>
        <w:rPr>
          <w:sz w:val="20"/>
          <w:szCs w:val="20"/>
        </w:rPr>
        <w:t xml:space="preserve">15 November 2024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Classification: </w:t>
      </w:r>
      <w:r>
        <w:rPr>
          <w:sz w:val="20"/>
          <w:szCs w:val="20"/>
        </w:rPr>
        <w:t xml:space="preserve">CONFIDENTIAL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1. Overview</w:t>
      </w:r>
    </w:p>
    <w:p>
      <w:pPr>
        <w:spacing w:after="100"/>
      </w:pPr>
      <w:r>
        <w:rPr>
          <w:sz w:val="20"/>
          <w:szCs w:val="20"/>
        </w:rPr>
        <w:t xml:space="preserve">Multi-factor authentication (MFA) is mandatory for all user accounts accessing Acme Corporation systems. This document defines the MFA configuration standards, supported authenticator types, and system-specific requirements. MFA requirements align with NIST SP 800-63B Authenticator Assurance Level 2 (AAL2).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2. Supported Authenticator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1680"/>
        <w:gridCol w:w="1680"/>
      </w:tblGrid>
      <w:tr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Security Level</w:t>
            </w:r>
          </w:p>
        </w:tc>
        <w:tc>
          <w:tcPr>
            <w:tcW w:type="dxa" w:w="1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FIDO2/WebAuthn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Hardware security keys (YubiKey, Google Titan). Phishing-resistant.</w:t>
            </w:r>
          </w:p>
        </w:tc>
        <w:tc>
          <w:tcPr>
            <w:tcW w:type="dxa" w:w="1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Highest</w:t>
            </w:r>
          </w:p>
        </w:tc>
        <w:tc>
          <w:tcPr>
            <w:tcW w:type="dxa" w:w="1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TOTP App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Time-based OTP via Microsoft Authenticator or Google Authenticator.</w:t>
            </w:r>
          </w:p>
        </w:tc>
        <w:tc>
          <w:tcPr>
            <w:tcW w:type="dxa" w:w="1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App-based approval push (Microsoft Authenticator). Number matching enabled.</w:t>
            </w:r>
          </w:p>
        </w:tc>
        <w:tc>
          <w:tcPr>
            <w:tcW w:type="dxa" w:w="1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SMS OTP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One-time code via SMS. Deprecated — SIM swap risk.</w:t>
            </w:r>
          </w:p>
        </w:tc>
        <w:tc>
          <w:tcPr>
            <w:tcW w:type="dxa" w:w="1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Legacy only</w:t>
            </w:r>
          </w:p>
        </w:tc>
      </w:tr>
      <w:tr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OTP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One-time code via email. NOT approved for production systems.</w:t>
            </w:r>
          </w:p>
        </w:tc>
        <w:tc>
          <w:tcPr>
            <w:tcW w:type="dxa" w:w="1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C00000"/>
                <w:bCs w:val="C00000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 MFA Configuration by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700"/>
        <w:gridCol w:w="1100"/>
        <w:gridCol w:w="1000"/>
        <w:gridCol w:w="1260"/>
      </w:tblGrid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Population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MFA Method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Phish-Resistant</w:t>
            </w:r>
          </w:p>
        </w:tc>
        <w:tc>
          <w:tcPr>
            <w:tcW w:type="dxa" w:w="12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AD / M365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employees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Microsoft Authenticator App (TOTP)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Compliant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Console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Engineers, Admins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Hardware FIDO2 Key (YubiKey 5)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Compliant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VPN (GlobalProtect)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remote users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TOTP + Push Notification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Compliant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Salesforce CRM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Sales, Customer Success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TOTP App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Compliant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Enterprise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TOTP or Hardware Key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Compliant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Legacy HR Portal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Dept only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SMS OTP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Partial</w:t>
            </w:r>
          </w:p>
        </w:tc>
        <w:tc>
          <w:tcPr>
            <w:tcW w:type="dxa" w:w="12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5A11"/>
                <w:sz w:val="20"/>
                <w:szCs w:val="20"/>
              </w:rPr>
              <w:t xml:space="preserve">Under Review</w:t>
            </w:r>
          </w:p>
        </w:tc>
      </w:tr>
      <w:tr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Wiki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employees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SSO (Azure AD — inherits MFA)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Via SSO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 MFA Enrollment Requirements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All new employees must enroll MFA on first login — grace period: 0 days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Minimum 2 authenticator methods registered per account (primary + backup)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Backup codes generated and stored in password manager (1Password Enterprise)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MFA re-enrollment required after device loss — verified via identity proofing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Hardware keys issued to all privileged users and remote workers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5. Exceptions</w:t>
      </w:r>
    </w:p>
    <w:p>
      <w:pPr>
        <w:spacing w:after="100"/>
      </w:pPr>
      <w:r>
        <w:rPr>
          <w:sz w:val="20"/>
          <w:szCs w:val="20"/>
        </w:rPr>
        <w:t xml:space="preserve">MFA exceptions require written approval from the CISO and are time-limited to a maximum of 30 days. No exceptions are permitted for privileged accounts or accounts with access to regulated data (PII, PCI, PHI). All exceptions are logged and reviewed monthly.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6. Monitoring &amp; Alerting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Failed MFA attempts &gt; 5 within 10 minutes trigger account lockout + SOC alert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MFA bypass events generate Priority 1 alerts in SIEM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Monthly MFA coverage report generated from Azure AD Identity Protection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Accounts without MFA enrollment flagged daily in compliance dashboard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2026-06-12T07:28:16.793Z</dcterms:created>
  <dcterms:modified xsi:type="dcterms:W3CDTF">2026-06-12T07:28:16.793Z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