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rPr>
          <w:b/>
          <w:bCs/>
          <w:color w:val="1F3864"/>
          <w:sz w:val="36"/>
          <w:szCs w:val="36"/>
        </w:rPr>
        <w:t xml:space="preserve">Single Sign-On (SSO) Configuration</w:t>
      </w:r>
    </w:p>
    <w:p>
      <w:pPr>
        <w:spacing w:after="60"/>
      </w:pPr>
      <w:r>
        <w:rPr>
          <w:b/>
          <w:bCs/>
          <w:sz w:val="20"/>
          <w:szCs w:val="20"/>
        </w:rPr>
        <w:t xml:space="preserve">Document ID: </w:t>
      </w:r>
      <w:r>
        <w:rPr>
          <w:sz w:val="20"/>
          <w:szCs w:val="20"/>
        </w:rPr>
        <w:t xml:space="preserve">CFG-SEC-SSO-2024</w:t>
      </w:r>
    </w:p>
    <w:p>
      <w:pPr>
        <w:spacing w:after="60"/>
      </w:pPr>
      <w:r>
        <w:rPr>
          <w:b/>
          <w:bCs/>
          <w:sz w:val="20"/>
          <w:szCs w:val="20"/>
        </w:rPr>
        <w:t xml:space="preserve">Version: </w:t>
      </w:r>
      <w:r>
        <w:rPr>
          <w:sz w:val="20"/>
          <w:szCs w:val="20"/>
        </w:rPr>
        <w:t xml:space="preserve">2.0</w:t>
      </w:r>
    </w:p>
    <w:p>
      <w:pPr>
        <w:spacing w:after="60"/>
      </w:pPr>
      <w:r>
        <w:rPr>
          <w:b/>
          <w:bCs/>
          <w:sz w:val="20"/>
          <w:szCs w:val="20"/>
        </w:rPr>
        <w:t xml:space="preserve">Identity Provider: </w:t>
      </w:r>
      <w:r>
        <w:rPr>
          <w:sz w:val="20"/>
          <w:szCs w:val="20"/>
        </w:rPr>
        <w:t xml:space="preserve">Microsoft Azure Active Directory (Entra ID)</w:t>
      </w:r>
    </w:p>
    <w:p>
      <w:pPr>
        <w:spacing w:after="60"/>
      </w:pPr>
      <w:r>
        <w:rPr>
          <w:b/>
          <w:bCs/>
          <w:sz w:val="20"/>
          <w:szCs w:val="20"/>
        </w:rPr>
        <w:t xml:space="preserve">Owner: </w:t>
      </w:r>
      <w:r>
        <w:rPr>
          <w:sz w:val="20"/>
          <w:szCs w:val="20"/>
        </w:rPr>
        <w:t xml:space="preserve">IT Security — Identity Team</w:t>
      </w:r>
    </w:p>
    <w:p>
      <w:pPr>
        <w:spacing w:after="60"/>
      </w:pPr>
      <w:r>
        <w:rPr>
          <w:b/>
          <w:bCs/>
          <w:sz w:val="20"/>
          <w:szCs w:val="20"/>
        </w:rPr>
        <w:t xml:space="preserve">Last Updated: </w:t>
      </w:r>
      <w:r>
        <w:rPr>
          <w:sz w:val="20"/>
          <w:szCs w:val="20"/>
        </w:rPr>
        <w:t xml:space="preserve">01 November 2024</w:t>
      </w:r>
    </w:p>
    <w:p>
      <w:pPr>
        <w:spacing w:after="60"/>
      </w:pPr>
      <w:r>
        <w:rPr>
          <w:b/>
          <w:bCs/>
          <w:sz w:val="20"/>
          <w:szCs w:val="20"/>
        </w:rPr>
        <w:t xml:space="preserve">Classification: </w:t>
      </w:r>
      <w:r>
        <w:rPr>
          <w:sz w:val="20"/>
          <w:szCs w:val="20"/>
        </w:rPr>
        <w:t xml:space="preserve">CONFIDENTIAL</w:t>
      </w:r>
    </w:p>
    <w:p>
      <w:pPr>
        <w:spacing w:after="80"/>
      </w:pPr>
      <w:r>
        <w:t xml:space="preserve"/>
      </w:r>
    </w:p>
    <w:p>
      <w:pPr>
        <w:pStyle w:val="Heading2"/>
        <w:pBdr>
          <w:bottom w:val="single" w:color="2E75B6" w:sz="4"/>
        </w:pBdr>
        <w:spacing w:after="120" w:before="240"/>
      </w:pPr>
      <w:r>
        <w:rPr>
          <w:b/>
          <w:bCs/>
          <w:color w:val="2E75B6"/>
          <w:sz w:val="26"/>
          <w:szCs w:val="26"/>
        </w:rPr>
        <w:t xml:space="preserve">1. Overview</w:t>
      </w:r>
    </w:p>
    <w:p>
      <w:pPr>
        <w:spacing w:after="100"/>
      </w:pPr>
      <w:r>
        <w:rPr>
          <w:sz w:val="20"/>
          <w:szCs w:val="20"/>
        </w:rPr>
        <w:t xml:space="preserve">Acme Corporation has implemented centralised Single Sign-On (SSO) using Microsoft Azure Active Directory (Entra ID) as the Identity Provider (IdP). SSO enforces consistent authentication policies including MFA, conditional access, and session management across all integrated applications. The target state is 100% SSO coverage for all SaaS and internal web applications.</w:t>
      </w:r>
    </w:p>
    <w:p>
      <w:pPr>
        <w:spacing w:after="80"/>
      </w:pPr>
      <w:r>
        <w:t xml:space="preserve"/>
      </w:r>
    </w:p>
    <w:p>
      <w:pPr>
        <w:pStyle w:val="Heading2"/>
        <w:pBdr>
          <w:bottom w:val="single" w:color="2E75B6" w:sz="4"/>
        </w:pBdr>
        <w:spacing w:after="120" w:before="240"/>
      </w:pPr>
      <w:r>
        <w:rPr>
          <w:b/>
          <w:bCs/>
          <w:color w:val="2E75B6"/>
          <w:sz w:val="26"/>
          <w:szCs w:val="26"/>
        </w:rPr>
        <w:t xml:space="preserve">2. Architecture Summary</w:t>
      </w:r>
    </w:p>
    <w:p>
      <w:pPr>
        <w:pStyle w:val="ListParagraph"/>
        <w:numPr>
          <w:ilvl w:val="0"/>
          <w:numId w:val="2"/>
        </w:numPr>
      </w:pPr>
      <w:r>
        <w:rPr>
          <w:sz w:val="20"/>
          <w:szCs w:val="20"/>
        </w:rPr>
        <w:t xml:space="preserve">Identity Provider: Microsoft Azure AD (Entra ID) — Tenant: acmecorp.onmicrosoft.com</w:t>
      </w:r>
    </w:p>
    <w:p>
      <w:pPr>
        <w:pStyle w:val="ListParagraph"/>
        <w:numPr>
          <w:ilvl w:val="0"/>
          <w:numId w:val="2"/>
        </w:numPr>
      </w:pPr>
      <w:r>
        <w:rPr>
          <w:sz w:val="20"/>
          <w:szCs w:val="20"/>
        </w:rPr>
        <w:t xml:space="preserve">Primary Protocol: SAML 2.0 (OIDC for modern applications)</w:t>
      </w:r>
    </w:p>
    <w:p>
      <w:pPr>
        <w:pStyle w:val="ListParagraph"/>
        <w:numPr>
          <w:ilvl w:val="0"/>
          <w:numId w:val="2"/>
        </w:numPr>
      </w:pPr>
      <w:r>
        <w:rPr>
          <w:sz w:val="20"/>
          <w:szCs w:val="20"/>
        </w:rPr>
        <w:t xml:space="preserve">User Directory: Azure AD synced from on-premises Active Directory via Azure AD Connect</w:t>
      </w:r>
    </w:p>
    <w:p>
      <w:pPr>
        <w:pStyle w:val="ListParagraph"/>
        <w:numPr>
          <w:ilvl w:val="0"/>
          <w:numId w:val="2"/>
        </w:numPr>
      </w:pPr>
      <w:r>
        <w:rPr>
          <w:sz w:val="20"/>
          <w:szCs w:val="20"/>
        </w:rPr>
        <w:t xml:space="preserve">Provisioning: SCIM 2.0 automated provisioning enabled for supported apps</w:t>
      </w:r>
    </w:p>
    <w:p>
      <w:pPr>
        <w:pStyle w:val="ListParagraph"/>
        <w:numPr>
          <w:ilvl w:val="0"/>
          <w:numId w:val="2"/>
        </w:numPr>
      </w:pPr>
      <w:r>
        <w:rPr>
          <w:sz w:val="20"/>
          <w:szCs w:val="20"/>
        </w:rPr>
        <w:t xml:space="preserve">Session Timeout: 8 hours (employees); 1 hour (privileged accounts)</w:t>
      </w:r>
    </w:p>
    <w:p>
      <w:pPr>
        <w:pStyle w:val="ListParagraph"/>
        <w:numPr>
          <w:ilvl w:val="0"/>
          <w:numId w:val="2"/>
        </w:numPr>
      </w:pPr>
      <w:r>
        <w:rPr>
          <w:sz w:val="20"/>
          <w:szCs w:val="20"/>
        </w:rPr>
        <w:t xml:space="preserve">Conditional Access: Enforced — requires compliant device + MFA for all app access</w:t>
      </w:r>
    </w:p>
    <w:p>
      <w:pPr>
        <w:spacing w:after="80"/>
      </w:pPr>
      <w:r>
        <w:t xml:space="preserve"/>
      </w:r>
    </w:p>
    <w:p>
      <w:pPr>
        <w:pStyle w:val="Heading2"/>
        <w:pBdr>
          <w:bottom w:val="single" w:color="2E75B6" w:sz="4"/>
        </w:pBdr>
        <w:spacing w:after="120" w:before="240"/>
      </w:pPr>
      <w:r>
        <w:rPr>
          <w:b/>
          <w:bCs/>
          <w:color w:val="2E75B6"/>
          <w:sz w:val="26"/>
          <w:szCs w:val="26"/>
        </w:rPr>
        <w:t xml:space="preserve">3. SSO-Integrated Application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200"/>
        <w:gridCol w:w="1000"/>
        <w:gridCol w:w="1100"/>
        <w:gridCol w:w="1280"/>
        <w:gridCol w:w="1280"/>
      </w:tblGrid>
      <w:tr>
        <w:tc>
          <w:tcPr>
            <w:tcW w:type="dxa" w:w="1600"/>
            <w:tcBorders>
              <w:top w:val="single" w:color="ADB9CA" w:sz="1"/>
              <w:left w:val="single" w:color="ADB9CA" w:sz="1"/>
              <w:bottom w:val="single" w:color="ADB9CA" w:sz="1"/>
              <w:right w:val="single" w:color="ADB9CA" w:sz="1"/>
            </w:tcBorders>
            <w:shd w:fill="2E75B6" w:val="clear"/>
            <w:tcMar>
              <w:top w:type="dxa" w:w="80"/>
              <w:left w:type="dxa" w:w="120"/>
              <w:bottom w:type="dxa" w:w="80"/>
              <w:right w:type="dxa" w:w="120"/>
            </w:tcMar>
          </w:tcPr>
          <w:p>
            <w:r>
              <w:rPr>
                <w:b/>
                <w:bCs/>
                <w:color w:val="FFFFFF"/>
                <w:sz w:val="20"/>
                <w:szCs w:val="20"/>
              </w:rPr>
              <w:t xml:space="preserve">Application</w:t>
            </w:r>
          </w:p>
        </w:tc>
        <w:tc>
          <w:tcPr>
            <w:tcW w:type="dxa" w:w="900"/>
            <w:tcBorders>
              <w:top w:val="single" w:color="ADB9CA" w:sz="1"/>
              <w:left w:val="single" w:color="ADB9CA" w:sz="1"/>
              <w:bottom w:val="single" w:color="ADB9CA" w:sz="1"/>
              <w:right w:val="single" w:color="ADB9CA" w:sz="1"/>
            </w:tcBorders>
            <w:shd w:fill="2E75B6" w:val="clear"/>
            <w:tcMar>
              <w:top w:type="dxa" w:w="80"/>
              <w:left w:type="dxa" w:w="120"/>
              <w:bottom w:type="dxa" w:w="80"/>
              <w:right w:type="dxa" w:w="120"/>
            </w:tcMar>
          </w:tcPr>
          <w:p>
            <w:r>
              <w:rPr>
                <w:b/>
                <w:bCs/>
                <w:color w:val="FFFFFF"/>
                <w:sz w:val="20"/>
                <w:szCs w:val="20"/>
              </w:rPr>
              <w:t xml:space="preserve">Protocol</w:t>
            </w:r>
          </w:p>
        </w:tc>
        <w:tc>
          <w:tcPr>
            <w:tcW w:type="dxa" w:w="1200"/>
            <w:tcBorders>
              <w:top w:val="single" w:color="ADB9CA" w:sz="1"/>
              <w:left w:val="single" w:color="ADB9CA" w:sz="1"/>
              <w:bottom w:val="single" w:color="ADB9CA" w:sz="1"/>
              <w:right w:val="single" w:color="ADB9CA" w:sz="1"/>
            </w:tcBorders>
            <w:shd w:fill="2E75B6" w:val="clear"/>
            <w:tcMar>
              <w:top w:type="dxa" w:w="80"/>
              <w:left w:type="dxa" w:w="120"/>
              <w:bottom w:type="dxa" w:w="80"/>
              <w:right w:type="dxa" w:w="120"/>
            </w:tcMar>
          </w:tcPr>
          <w:p>
            <w:r>
              <w:rPr>
                <w:b/>
                <w:bCs/>
                <w:color w:val="FFFFFF"/>
                <w:sz w:val="20"/>
                <w:szCs w:val="20"/>
              </w:rPr>
              <w:t xml:space="preserve">IdP</w:t>
            </w:r>
          </w:p>
        </w:tc>
        <w:tc>
          <w:tcPr>
            <w:tcW w:type="dxa" w:w="1000"/>
            <w:tcBorders>
              <w:top w:val="single" w:color="ADB9CA" w:sz="1"/>
              <w:left w:val="single" w:color="ADB9CA" w:sz="1"/>
              <w:bottom w:val="single" w:color="ADB9CA" w:sz="1"/>
              <w:right w:val="single" w:color="ADB9CA" w:sz="1"/>
            </w:tcBorders>
            <w:shd w:fill="2E75B6" w:val="clear"/>
            <w:tcMar>
              <w:top w:type="dxa" w:w="80"/>
              <w:left w:type="dxa" w:w="120"/>
              <w:bottom w:type="dxa" w:w="80"/>
              <w:right w:type="dxa" w:w="120"/>
            </w:tcMar>
          </w:tcPr>
          <w:p>
            <w:r>
              <w:rPr>
                <w:b/>
                <w:bCs/>
                <w:color w:val="FFFFFF"/>
                <w:sz w:val="20"/>
                <w:szCs w:val="20"/>
              </w:rPr>
              <w:t xml:space="preserve">Status</w:t>
            </w:r>
          </w:p>
        </w:tc>
        <w:tc>
          <w:tcPr>
            <w:tcW w:type="dxa" w:w="1100"/>
            <w:tcBorders>
              <w:top w:val="single" w:color="ADB9CA" w:sz="1"/>
              <w:left w:val="single" w:color="ADB9CA" w:sz="1"/>
              <w:bottom w:val="single" w:color="ADB9CA" w:sz="1"/>
              <w:right w:val="single" w:color="ADB9CA" w:sz="1"/>
            </w:tcBorders>
            <w:shd w:fill="2E75B6" w:val="clear"/>
            <w:tcMar>
              <w:top w:type="dxa" w:w="80"/>
              <w:left w:type="dxa" w:w="120"/>
              <w:bottom w:type="dxa" w:w="80"/>
              <w:right w:type="dxa" w:w="120"/>
            </w:tcMar>
          </w:tcPr>
          <w:p>
            <w:r>
              <w:rPr>
                <w:b/>
                <w:bCs/>
                <w:color w:val="FFFFFF"/>
                <w:sz w:val="20"/>
                <w:szCs w:val="20"/>
              </w:rPr>
              <w:t xml:space="preserve">SSO Enforced</w:t>
            </w:r>
          </w:p>
        </w:tc>
        <w:tc>
          <w:tcPr>
            <w:tcW w:type="dxa" w:w="1280"/>
            <w:tcBorders>
              <w:top w:val="single" w:color="ADB9CA" w:sz="1"/>
              <w:left w:val="single" w:color="ADB9CA" w:sz="1"/>
              <w:bottom w:val="single" w:color="ADB9CA" w:sz="1"/>
              <w:right w:val="single" w:color="ADB9CA" w:sz="1"/>
            </w:tcBorders>
            <w:shd w:fill="2E75B6" w:val="clear"/>
            <w:tcMar>
              <w:top w:type="dxa" w:w="80"/>
              <w:left w:type="dxa" w:w="120"/>
              <w:bottom w:type="dxa" w:w="80"/>
              <w:right w:type="dxa" w:w="120"/>
            </w:tcMar>
          </w:tcPr>
          <w:p>
            <w:r>
              <w:rPr>
                <w:b/>
                <w:bCs/>
                <w:color w:val="FFFFFF"/>
                <w:sz w:val="20"/>
                <w:szCs w:val="20"/>
              </w:rPr>
              <w:t xml:space="preserve">SCIM Provisioning</w:t>
            </w:r>
          </w:p>
        </w:tc>
        <w:tc>
          <w:tcPr>
            <w:tcW w:type="dxa" w:w="1280"/>
            <w:tcBorders>
              <w:top w:val="single" w:color="ADB9CA" w:sz="1"/>
              <w:left w:val="single" w:color="ADB9CA" w:sz="1"/>
              <w:bottom w:val="single" w:color="ADB9CA" w:sz="1"/>
              <w:right w:val="single" w:color="ADB9CA" w:sz="1"/>
            </w:tcBorders>
            <w:shd w:fill="2E75B6" w:val="clear"/>
            <w:tcMar>
              <w:top w:type="dxa" w:w="80"/>
              <w:left w:type="dxa" w:w="120"/>
              <w:bottom w:type="dxa" w:w="80"/>
              <w:right w:type="dxa" w:w="120"/>
            </w:tcMar>
          </w:tcPr>
          <w:p>
            <w:r>
              <w:rPr>
                <w:b/>
                <w:bCs/>
                <w:color w:val="FFFFFF"/>
                <w:sz w:val="20"/>
                <w:szCs w:val="20"/>
              </w:rPr>
              <w:t xml:space="preserve">Cond. Access</w:t>
            </w:r>
          </w:p>
        </w:tc>
      </w:tr>
      <w:tr>
        <w:tc>
          <w:tcPr>
            <w:tcW w:type="dxa" w:w="1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Microsoft 365</w:t>
            </w:r>
          </w:p>
        </w:tc>
        <w:tc>
          <w:tcPr>
            <w:tcW w:type="dxa" w:w="9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SAML 2.0</w:t>
            </w:r>
          </w:p>
        </w:tc>
        <w:tc>
          <w:tcPr>
            <w:tcW w:type="dxa" w:w="12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Azure AD</w:t>
            </w:r>
          </w:p>
        </w:tc>
        <w:tc>
          <w:tcPr>
            <w:tcW w:type="dxa" w:w="10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Active</w:t>
            </w:r>
          </w:p>
        </w:tc>
        <w:tc>
          <w:tcPr>
            <w:tcW w:type="dxa" w:w="11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Enabled</w:t>
            </w:r>
          </w:p>
        </w:tc>
        <w:tc>
          <w:tcPr>
            <w:tcW w:type="dxa" w:w="12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Yes</w:t>
            </w:r>
          </w:p>
        </w:tc>
        <w:tc>
          <w:tcPr>
            <w:tcW w:type="dxa" w:w="12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Yes</w:t>
            </w:r>
          </w:p>
        </w:tc>
      </w:tr>
      <w:tr>
        <w:tc>
          <w:tcPr>
            <w:tcW w:type="dxa" w:w="16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Salesforce</w:t>
            </w:r>
          </w:p>
        </w:tc>
        <w:tc>
          <w:tcPr>
            <w:tcW w:type="dxa" w:w="9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SAML 2.0</w:t>
            </w:r>
          </w:p>
        </w:tc>
        <w:tc>
          <w:tcPr>
            <w:tcW w:type="dxa" w:w="12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Azure AD</w:t>
            </w:r>
          </w:p>
        </w:tc>
        <w:tc>
          <w:tcPr>
            <w:tcW w:type="dxa" w:w="10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Active</w:t>
            </w:r>
          </w:p>
        </w:tc>
        <w:tc>
          <w:tcPr>
            <w:tcW w:type="dxa" w:w="11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Enabled</w:t>
            </w:r>
          </w:p>
        </w:tc>
        <w:tc>
          <w:tcPr>
            <w:tcW w:type="dxa" w:w="128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Yes</w:t>
            </w:r>
          </w:p>
        </w:tc>
        <w:tc>
          <w:tcPr>
            <w:tcW w:type="dxa" w:w="128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Yes</w:t>
            </w:r>
          </w:p>
        </w:tc>
      </w:tr>
      <w:tr>
        <w:tc>
          <w:tcPr>
            <w:tcW w:type="dxa" w:w="1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GitHub Enterprise</w:t>
            </w:r>
          </w:p>
        </w:tc>
        <w:tc>
          <w:tcPr>
            <w:tcW w:type="dxa" w:w="9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SAML 2.0</w:t>
            </w:r>
          </w:p>
        </w:tc>
        <w:tc>
          <w:tcPr>
            <w:tcW w:type="dxa" w:w="12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Azure AD</w:t>
            </w:r>
          </w:p>
        </w:tc>
        <w:tc>
          <w:tcPr>
            <w:tcW w:type="dxa" w:w="10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Active</w:t>
            </w:r>
          </w:p>
        </w:tc>
        <w:tc>
          <w:tcPr>
            <w:tcW w:type="dxa" w:w="11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Enabled</w:t>
            </w:r>
          </w:p>
        </w:tc>
        <w:tc>
          <w:tcPr>
            <w:tcW w:type="dxa" w:w="12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Yes</w:t>
            </w:r>
          </w:p>
        </w:tc>
        <w:tc>
          <w:tcPr>
            <w:tcW w:type="dxa" w:w="12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Yes</w:t>
            </w:r>
          </w:p>
        </w:tc>
      </w:tr>
      <w:tr>
        <w:tc>
          <w:tcPr>
            <w:tcW w:type="dxa" w:w="16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ServiceNow</w:t>
            </w:r>
          </w:p>
        </w:tc>
        <w:tc>
          <w:tcPr>
            <w:tcW w:type="dxa" w:w="9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SAML 2.0</w:t>
            </w:r>
          </w:p>
        </w:tc>
        <w:tc>
          <w:tcPr>
            <w:tcW w:type="dxa" w:w="12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Azure AD</w:t>
            </w:r>
          </w:p>
        </w:tc>
        <w:tc>
          <w:tcPr>
            <w:tcW w:type="dxa" w:w="10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Active</w:t>
            </w:r>
          </w:p>
        </w:tc>
        <w:tc>
          <w:tcPr>
            <w:tcW w:type="dxa" w:w="11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Enabled</w:t>
            </w:r>
          </w:p>
        </w:tc>
        <w:tc>
          <w:tcPr>
            <w:tcW w:type="dxa" w:w="128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Yes</w:t>
            </w:r>
          </w:p>
        </w:tc>
        <w:tc>
          <w:tcPr>
            <w:tcW w:type="dxa" w:w="128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Yes</w:t>
            </w:r>
          </w:p>
        </w:tc>
      </w:tr>
      <w:tr>
        <w:tc>
          <w:tcPr>
            <w:tcW w:type="dxa" w:w="1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AWS SSO (IAM Identity Center)</w:t>
            </w:r>
          </w:p>
        </w:tc>
        <w:tc>
          <w:tcPr>
            <w:tcW w:type="dxa" w:w="9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SAML 2.0 + SCIM</w:t>
            </w:r>
          </w:p>
        </w:tc>
        <w:tc>
          <w:tcPr>
            <w:tcW w:type="dxa" w:w="12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Azure AD</w:t>
            </w:r>
          </w:p>
        </w:tc>
        <w:tc>
          <w:tcPr>
            <w:tcW w:type="dxa" w:w="10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Active</w:t>
            </w:r>
          </w:p>
        </w:tc>
        <w:tc>
          <w:tcPr>
            <w:tcW w:type="dxa" w:w="11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Enabled</w:t>
            </w:r>
          </w:p>
        </w:tc>
        <w:tc>
          <w:tcPr>
            <w:tcW w:type="dxa" w:w="12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Yes</w:t>
            </w:r>
          </w:p>
        </w:tc>
        <w:tc>
          <w:tcPr>
            <w:tcW w:type="dxa" w:w="12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Yes</w:t>
            </w:r>
          </w:p>
        </w:tc>
      </w:tr>
      <w:tr>
        <w:tc>
          <w:tcPr>
            <w:tcW w:type="dxa" w:w="16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Jira / Confluence</w:t>
            </w:r>
          </w:p>
        </w:tc>
        <w:tc>
          <w:tcPr>
            <w:tcW w:type="dxa" w:w="9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SAML 2.0</w:t>
            </w:r>
          </w:p>
        </w:tc>
        <w:tc>
          <w:tcPr>
            <w:tcW w:type="dxa" w:w="12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Azure AD</w:t>
            </w:r>
          </w:p>
        </w:tc>
        <w:tc>
          <w:tcPr>
            <w:tcW w:type="dxa" w:w="10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Active</w:t>
            </w:r>
          </w:p>
        </w:tc>
        <w:tc>
          <w:tcPr>
            <w:tcW w:type="dxa" w:w="11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Enabled</w:t>
            </w:r>
          </w:p>
        </w:tc>
        <w:tc>
          <w:tcPr>
            <w:tcW w:type="dxa" w:w="128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Yes</w:t>
            </w:r>
          </w:p>
        </w:tc>
        <w:tc>
          <w:tcPr>
            <w:tcW w:type="dxa" w:w="128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Yes</w:t>
            </w:r>
          </w:p>
        </w:tc>
      </w:tr>
      <w:tr>
        <w:tc>
          <w:tcPr>
            <w:tcW w:type="dxa" w:w="1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Slack</w:t>
            </w:r>
          </w:p>
        </w:tc>
        <w:tc>
          <w:tcPr>
            <w:tcW w:type="dxa" w:w="9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SAML 2.0</w:t>
            </w:r>
          </w:p>
        </w:tc>
        <w:tc>
          <w:tcPr>
            <w:tcW w:type="dxa" w:w="12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Azure AD</w:t>
            </w:r>
          </w:p>
        </w:tc>
        <w:tc>
          <w:tcPr>
            <w:tcW w:type="dxa" w:w="10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Active</w:t>
            </w:r>
          </w:p>
        </w:tc>
        <w:tc>
          <w:tcPr>
            <w:tcW w:type="dxa" w:w="11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Enabled</w:t>
            </w:r>
          </w:p>
        </w:tc>
        <w:tc>
          <w:tcPr>
            <w:tcW w:type="dxa" w:w="12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Yes</w:t>
            </w:r>
          </w:p>
        </w:tc>
        <w:tc>
          <w:tcPr>
            <w:tcW w:type="dxa" w:w="12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Yes</w:t>
            </w:r>
          </w:p>
        </w:tc>
      </w:tr>
      <w:tr>
        <w:tc>
          <w:tcPr>
            <w:tcW w:type="dxa" w:w="16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Legacy Billing App</w:t>
            </w:r>
          </w:p>
        </w:tc>
        <w:tc>
          <w:tcPr>
            <w:tcW w:type="dxa" w:w="9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LDAP</w:t>
            </w:r>
          </w:p>
        </w:tc>
        <w:tc>
          <w:tcPr>
            <w:tcW w:type="dxa" w:w="12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On-Prem AD</w:t>
            </w:r>
          </w:p>
        </w:tc>
        <w:tc>
          <w:tcPr>
            <w:tcW w:type="dxa" w:w="10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bCs/>
                <w:color w:val="C55A11"/>
                <w:sz w:val="20"/>
                <w:szCs w:val="20"/>
              </w:rPr>
              <w:t xml:space="preserve">Under Migration</w:t>
            </w:r>
          </w:p>
        </w:tc>
        <w:tc>
          <w:tcPr>
            <w:tcW w:type="dxa" w:w="11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bCs/>
                <w:color w:val="C55A11"/>
                <w:sz w:val="20"/>
                <w:szCs w:val="20"/>
              </w:rPr>
              <w:t xml:space="preserve">Not enforced</w:t>
            </w:r>
          </w:p>
        </w:tc>
        <w:tc>
          <w:tcPr>
            <w:tcW w:type="dxa" w:w="128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bCs/>
                <w:color w:val="C55A11"/>
                <w:sz w:val="20"/>
                <w:szCs w:val="20"/>
              </w:rPr>
              <w:t xml:space="preserve">No</w:t>
            </w:r>
          </w:p>
        </w:tc>
        <w:tc>
          <w:tcPr>
            <w:tcW w:type="dxa" w:w="128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bCs/>
                <w:color w:val="C55A11"/>
                <w:sz w:val="20"/>
                <w:szCs w:val="20"/>
              </w:rPr>
              <w:t xml:space="preserve">No</w:t>
            </w:r>
          </w:p>
        </w:tc>
      </w:tr>
    </w:tbl>
    <w:p>
      <w:pPr>
        <w:spacing w:after="80"/>
      </w:pPr>
      <w:r>
        <w:t xml:space="preserve"/>
      </w:r>
    </w:p>
    <w:p>
      <w:pPr>
        <w:pStyle w:val="Heading2"/>
        <w:pBdr>
          <w:bottom w:val="single" w:color="2E75B6" w:sz="4"/>
        </w:pBdr>
        <w:spacing w:after="120" w:before="240"/>
      </w:pPr>
      <w:r>
        <w:rPr>
          <w:b/>
          <w:bCs/>
          <w:color w:val="2E75B6"/>
          <w:sz w:val="26"/>
          <w:szCs w:val="26"/>
        </w:rPr>
        <w:t xml:space="preserve">4. Conditional Access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180"/>
        <w:gridCol w:w="2180"/>
      </w:tblGrid>
      <w:tr>
        <w:tc>
          <w:tcPr>
            <w:tcW w:type="dxa" w:w="2000"/>
            <w:tcBorders>
              <w:top w:val="single" w:color="ADB9CA" w:sz="1"/>
              <w:left w:val="single" w:color="ADB9CA" w:sz="1"/>
              <w:bottom w:val="single" w:color="ADB9CA" w:sz="1"/>
              <w:right w:val="single" w:color="ADB9CA" w:sz="1"/>
            </w:tcBorders>
            <w:shd w:fill="2E75B6" w:val="clear"/>
            <w:tcMar>
              <w:top w:type="dxa" w:w="80"/>
              <w:left w:type="dxa" w:w="120"/>
              <w:bottom w:type="dxa" w:w="80"/>
              <w:right w:type="dxa" w:w="120"/>
            </w:tcMar>
          </w:tcPr>
          <w:p>
            <w:r>
              <w:rPr>
                <w:b/>
                <w:bCs/>
                <w:color w:val="FFFFFF"/>
                <w:sz w:val="20"/>
                <w:szCs w:val="20"/>
              </w:rPr>
              <w:t xml:space="preserve">Policy Name</w:t>
            </w:r>
          </w:p>
        </w:tc>
        <w:tc>
          <w:tcPr>
            <w:tcW w:type="dxa" w:w="3000"/>
            <w:tcBorders>
              <w:top w:val="single" w:color="ADB9CA" w:sz="1"/>
              <w:left w:val="single" w:color="ADB9CA" w:sz="1"/>
              <w:bottom w:val="single" w:color="ADB9CA" w:sz="1"/>
              <w:right w:val="single" w:color="ADB9CA" w:sz="1"/>
            </w:tcBorders>
            <w:shd w:fill="2E75B6" w:val="clear"/>
            <w:tcMar>
              <w:top w:type="dxa" w:w="80"/>
              <w:left w:type="dxa" w:w="120"/>
              <w:bottom w:type="dxa" w:w="80"/>
              <w:right w:type="dxa" w:w="120"/>
            </w:tcMar>
          </w:tcPr>
          <w:p>
            <w:r>
              <w:rPr>
                <w:b/>
                <w:bCs/>
                <w:color w:val="FFFFFF"/>
                <w:sz w:val="20"/>
                <w:szCs w:val="20"/>
              </w:rPr>
              <w:t xml:space="preserve">Conditions</w:t>
            </w:r>
          </w:p>
        </w:tc>
        <w:tc>
          <w:tcPr>
            <w:tcW w:type="dxa" w:w="2180"/>
            <w:tcBorders>
              <w:top w:val="single" w:color="ADB9CA" w:sz="1"/>
              <w:left w:val="single" w:color="ADB9CA" w:sz="1"/>
              <w:bottom w:val="single" w:color="ADB9CA" w:sz="1"/>
              <w:right w:val="single" w:color="ADB9CA" w:sz="1"/>
            </w:tcBorders>
            <w:shd w:fill="2E75B6" w:val="clear"/>
            <w:tcMar>
              <w:top w:type="dxa" w:w="80"/>
              <w:left w:type="dxa" w:w="120"/>
              <w:bottom w:type="dxa" w:w="80"/>
              <w:right w:type="dxa" w:w="120"/>
            </w:tcMar>
          </w:tcPr>
          <w:p>
            <w:r>
              <w:rPr>
                <w:b/>
                <w:bCs/>
                <w:color w:val="FFFFFF"/>
                <w:sz w:val="20"/>
                <w:szCs w:val="20"/>
              </w:rPr>
              <w:t xml:space="preserve">Grant Controls</w:t>
            </w:r>
          </w:p>
        </w:tc>
        <w:tc>
          <w:tcPr>
            <w:tcW w:type="dxa" w:w="2180"/>
            <w:tcBorders>
              <w:top w:val="single" w:color="ADB9CA" w:sz="1"/>
              <w:left w:val="single" w:color="ADB9CA" w:sz="1"/>
              <w:bottom w:val="single" w:color="ADB9CA" w:sz="1"/>
              <w:right w:val="single" w:color="ADB9CA" w:sz="1"/>
            </w:tcBorders>
            <w:shd w:fill="2E75B6" w:val="clear"/>
            <w:tcMar>
              <w:top w:type="dxa" w:w="80"/>
              <w:left w:type="dxa" w:w="120"/>
              <w:bottom w:type="dxa" w:w="80"/>
              <w:right w:type="dxa" w:w="120"/>
            </w:tcMar>
          </w:tcPr>
          <w:p>
            <w:r>
              <w:rPr>
                <w:b/>
                <w:bCs/>
                <w:color w:val="FFFFFF"/>
                <w:sz w:val="20"/>
                <w:szCs w:val="20"/>
              </w:rPr>
              <w:t xml:space="preserve">State</w:t>
            </w:r>
          </w:p>
        </w:tc>
      </w:tr>
      <w:tr>
        <w:tc>
          <w:tcPr>
            <w:tcW w:type="dxa" w:w="20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Require MFA — All Apps</w:t>
            </w:r>
          </w:p>
        </w:tc>
        <w:tc>
          <w:tcPr>
            <w:tcW w:type="dxa" w:w="30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All users, all apps</w:t>
            </w:r>
          </w:p>
        </w:tc>
        <w:tc>
          <w:tcPr>
            <w:tcW w:type="dxa" w:w="21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Require MFA</w:t>
            </w:r>
          </w:p>
        </w:tc>
        <w:tc>
          <w:tcPr>
            <w:tcW w:type="dxa" w:w="21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Enabled</w:t>
            </w:r>
          </w:p>
        </w:tc>
      </w:tr>
      <w:tr>
        <w:tc>
          <w:tcPr>
            <w:tcW w:type="dxa" w:w="20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Block Legacy Auth</w:t>
            </w:r>
          </w:p>
        </w:tc>
        <w:tc>
          <w:tcPr>
            <w:tcW w:type="dxa" w:w="30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Any client using Basic Auth / SMTP Auth</w:t>
            </w:r>
          </w:p>
        </w:tc>
        <w:tc>
          <w:tcPr>
            <w:tcW w:type="dxa" w:w="218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Block</w:t>
            </w:r>
          </w:p>
        </w:tc>
        <w:tc>
          <w:tcPr>
            <w:tcW w:type="dxa" w:w="218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Enabled</w:t>
            </w:r>
          </w:p>
        </w:tc>
      </w:tr>
      <w:tr>
        <w:tc>
          <w:tcPr>
            <w:tcW w:type="dxa" w:w="20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Compliant Device Required</w:t>
            </w:r>
          </w:p>
        </w:tc>
        <w:tc>
          <w:tcPr>
            <w:tcW w:type="dxa" w:w="30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Access to M365, AWS, Salesforce</w:t>
            </w:r>
          </w:p>
        </w:tc>
        <w:tc>
          <w:tcPr>
            <w:tcW w:type="dxa" w:w="21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Require compliant/joined device</w:t>
            </w:r>
          </w:p>
        </w:tc>
        <w:tc>
          <w:tcPr>
            <w:tcW w:type="dxa" w:w="21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Enabled</w:t>
            </w:r>
          </w:p>
        </w:tc>
      </w:tr>
      <w:tr>
        <w:tc>
          <w:tcPr>
            <w:tcW w:type="dxa" w:w="20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High-Risk Sign-In Block</w:t>
            </w:r>
          </w:p>
        </w:tc>
        <w:tc>
          <w:tcPr>
            <w:tcW w:type="dxa" w:w="30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Sign-in risk: High (Identity Protection)</w:t>
            </w:r>
          </w:p>
        </w:tc>
        <w:tc>
          <w:tcPr>
            <w:tcW w:type="dxa" w:w="218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Block</w:t>
            </w:r>
          </w:p>
        </w:tc>
        <w:tc>
          <w:tcPr>
            <w:tcW w:type="dxa" w:w="218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Enabled</w:t>
            </w:r>
          </w:p>
        </w:tc>
      </w:tr>
      <w:tr>
        <w:tc>
          <w:tcPr>
            <w:tcW w:type="dxa" w:w="20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Privileged Access Policy</w:t>
            </w:r>
          </w:p>
        </w:tc>
        <w:tc>
          <w:tcPr>
            <w:tcW w:type="dxa" w:w="30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Admin roles — any location</w:t>
            </w:r>
          </w:p>
        </w:tc>
        <w:tc>
          <w:tcPr>
            <w:tcW w:type="dxa" w:w="21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MFA + Compliant Device + PIM activation</w:t>
            </w:r>
          </w:p>
        </w:tc>
        <w:tc>
          <w:tcPr>
            <w:tcW w:type="dxa" w:w="21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Enabled</w:t>
            </w:r>
          </w:p>
        </w:tc>
      </w:tr>
    </w:tbl>
    <w:p>
      <w:pPr>
        <w:spacing w:after="80"/>
      </w:pPr>
      <w:r>
        <w:t xml:space="preserve"/>
      </w:r>
    </w:p>
    <w:p>
      <w:pPr>
        <w:pStyle w:val="Heading2"/>
        <w:pBdr>
          <w:bottom w:val="single" w:color="2E75B6" w:sz="4"/>
        </w:pBdr>
        <w:spacing w:after="120" w:before="240"/>
      </w:pPr>
      <w:r>
        <w:rPr>
          <w:b/>
          <w:bCs/>
          <w:color w:val="2E75B6"/>
          <w:sz w:val="26"/>
          <w:szCs w:val="26"/>
        </w:rPr>
        <w:t xml:space="preserve">5. Known Gaps &amp; Remediation</w:t>
      </w:r>
    </w:p>
    <w:p>
      <w:pPr>
        <w:spacing w:after="100"/>
      </w:pPr>
      <w:r>
        <w:rPr>
          <w:sz w:val="20"/>
          <w:szCs w:val="20"/>
        </w:rPr>
        <w:t xml:space="preserve">The Legacy Billing App currently uses LDAP authentication against on-premises Active Directory and does not support SSO or MFA enforcement. Migration to SAML 2.0 with Azure AD is planned for Q1 2025. Compensating controls include: IP allowlisting, VPN requirement, and enhanced monitoring of LDAP authentication logs.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2026-06-12T07:28:16.832Z</dcterms:created>
  <dcterms:modified xsi:type="dcterms:W3CDTF">2026-06-12T07:28:16.832Z</dcterms:modified>
</cp:coreProperties>
</file>

<file path=docProps/custom.xml><?xml version="1.0" encoding="utf-8"?>
<Properties xmlns="http://schemas.openxmlformats.org/officeDocument/2006/custom-properties" xmlns:vt="http://schemas.openxmlformats.org/officeDocument/2006/docPropsVTypes"/>
</file>