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rPr>
          <w:b/>
          <w:bCs/>
          <w:color w:val="1F3864"/>
          <w:sz w:val="36"/>
          <w:szCs w:val="36"/>
        </w:rPr>
        <w:t xml:space="preserve">Identity and Access Management (IAM) Policy</w:t>
      </w:r>
    </w:p>
    <w:p>
      <w:pPr>
        <w:spacing w:after="60"/>
      </w:pPr>
      <w:r>
        <w:rPr>
          <w:b/>
          <w:bCs/>
          <w:sz w:val="20"/>
          <w:szCs w:val="20"/>
        </w:rPr>
        <w:t xml:space="preserve">Document ID: </w:t>
      </w:r>
      <w:r>
        <w:rPr>
          <w:sz w:val="20"/>
          <w:szCs w:val="20"/>
        </w:rPr>
        <w:t xml:space="preserve">POL-IAM-2024-v3.2</w:t>
      </w:r>
    </w:p>
    <w:p>
      <w:pPr>
        <w:spacing w:after="60"/>
      </w:pPr>
      <w:r>
        <w:rPr>
          <w:b/>
          <w:bCs/>
          <w:sz w:val="20"/>
          <w:szCs w:val="20"/>
        </w:rPr>
        <w:t xml:space="preserve">Classification: </w:t>
      </w:r>
      <w:r>
        <w:rPr>
          <w:sz w:val="20"/>
          <w:szCs w:val="20"/>
        </w:rPr>
        <w:t xml:space="preserve">INTERNAL CONFIDENTIAL</w:t>
      </w:r>
    </w:p>
    <w:p>
      <w:pPr>
        <w:spacing w:after="60"/>
      </w:pPr>
      <w:r>
        <w:rPr>
          <w:b/>
          <w:bCs/>
          <w:sz w:val="20"/>
          <w:szCs w:val="20"/>
        </w:rPr>
        <w:t xml:space="preserve">Owner: </w:t>
      </w:r>
      <w:r>
        <w:rPr>
          <w:sz w:val="20"/>
          <w:szCs w:val="20"/>
        </w:rPr>
        <w:t xml:space="preserve">Chief Information Security Officer (CISO)</w:t>
      </w:r>
    </w:p>
    <w:p>
      <w:pPr>
        <w:spacing w:after="60"/>
      </w:pPr>
      <w:r>
        <w:rPr>
          <w:b/>
          <w:bCs/>
          <w:sz w:val="20"/>
          <w:szCs w:val="20"/>
        </w:rPr>
        <w:t xml:space="preserve">Effective Date: </w:t>
      </w:r>
      <w:r>
        <w:rPr>
          <w:sz w:val="20"/>
          <w:szCs w:val="20"/>
        </w:rPr>
        <w:t xml:space="preserve">01 January 2024</w:t>
      </w:r>
    </w:p>
    <w:p>
      <w:pPr>
        <w:spacing w:after="60"/>
      </w:pPr>
      <w:r>
        <w:rPr>
          <w:b/>
          <w:bCs/>
          <w:sz w:val="20"/>
          <w:szCs w:val="20"/>
        </w:rPr>
        <w:t xml:space="preserve">Review Date: </w:t>
      </w:r>
      <w:r>
        <w:rPr>
          <w:sz w:val="20"/>
          <w:szCs w:val="20"/>
        </w:rPr>
        <w:t xml:space="preserve">01 January 2025</w:t>
      </w:r>
    </w:p>
    <w:p>
      <w:pPr>
        <w:spacing w:after="60"/>
      </w:pPr>
      <w:r>
        <w:rPr>
          <w:b/>
          <w:bCs/>
          <w:sz w:val="20"/>
          <w:szCs w:val="20"/>
        </w:rPr>
        <w:t xml:space="preserve">Version: </w:t>
      </w:r>
      <w:r>
        <w:rPr>
          <w:sz w:val="20"/>
          <w:szCs w:val="20"/>
        </w:rPr>
        <w:t xml:space="preserve">3.2</w:t>
      </w:r>
    </w:p>
    <w:p>
      <w:pPr>
        <w:spacing w:after="80"/>
      </w:pPr>
      <w:r>
        <w:t xml:space="preserve"/>
      </w:r>
    </w:p>
    <w:p>
      <w:pPr>
        <w:pStyle w:val="Heading2"/>
        <w:pBdr>
          <w:bottom w:val="single" w:color="2E75B6" w:sz="4"/>
        </w:pBdr>
        <w:spacing w:after="120" w:before="240"/>
      </w:pPr>
      <w:r>
        <w:rPr>
          <w:b/>
          <w:bCs/>
          <w:color w:val="2E75B6"/>
          <w:sz w:val="26"/>
          <w:szCs w:val="26"/>
        </w:rPr>
        <w:t xml:space="preserve">1. Purpose</w:t>
      </w:r>
    </w:p>
    <w:p>
      <w:pPr>
        <w:spacing w:after="100"/>
      </w:pPr>
      <w:r>
        <w:rPr>
          <w:sz w:val="20"/>
          <w:szCs w:val="20"/>
        </w:rPr>
        <w:t xml:space="preserve">This policy establishes the requirements for managing identities, access rights, and privileges across all information systems owned or operated by Acme Corporation. It ensures that access to systems and data is granted based on business need, the principle of least privilege, and applicable regulatory requirements.</w:t>
      </w:r>
    </w:p>
    <w:p>
      <w:pPr>
        <w:spacing w:after="80"/>
      </w:pPr>
      <w:r>
        <w:t xml:space="preserve"/>
      </w:r>
    </w:p>
    <w:p>
      <w:pPr>
        <w:pStyle w:val="Heading2"/>
        <w:pBdr>
          <w:bottom w:val="single" w:color="2E75B6" w:sz="4"/>
        </w:pBdr>
        <w:spacing w:after="120" w:before="240"/>
      </w:pPr>
      <w:r>
        <w:rPr>
          <w:b/>
          <w:bCs/>
          <w:color w:val="2E75B6"/>
          <w:sz w:val="26"/>
          <w:szCs w:val="26"/>
        </w:rPr>
        <w:t xml:space="preserve">2. Scope</w:t>
      </w:r>
    </w:p>
    <w:p>
      <w:pPr>
        <w:spacing w:after="100"/>
      </w:pPr>
      <w:r>
        <w:rPr>
          <w:sz w:val="20"/>
          <w:szCs w:val="20"/>
        </w:rPr>
        <w:t xml:space="preserve">This policy applies to all employees, contractors, vendors, and other third parties who access Acme Corporation information systems, networks, applications, or data — regardless of location or device type.</w:t>
      </w:r>
    </w:p>
    <w:p>
      <w:pPr>
        <w:spacing w:after="80"/>
      </w:pPr>
      <w:r>
        <w:t xml:space="preserve"/>
      </w:r>
    </w:p>
    <w:p>
      <w:pPr>
        <w:pStyle w:val="Heading2"/>
        <w:pBdr>
          <w:bottom w:val="single" w:color="2E75B6" w:sz="4"/>
        </w:pBdr>
        <w:spacing w:after="120" w:before="240"/>
      </w:pPr>
      <w:r>
        <w:rPr>
          <w:b/>
          <w:bCs/>
          <w:color w:val="2E75B6"/>
          <w:sz w:val="26"/>
          <w:szCs w:val="26"/>
        </w:rPr>
        <w:t xml:space="preserve">3. Policy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760"/>
        <w:gridCol w:w="1500"/>
        <w:gridCol w:w="1100"/>
      </w:tblGrid>
      <w:tr>
        <w:tc>
          <w:tcPr>
            <w:tcW w:type="dxa" w:w="120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Policy ID</w:t>
            </w:r>
          </w:p>
        </w:tc>
        <w:tc>
          <w:tcPr>
            <w:tcW w:type="dxa" w:w="180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Policy Name</w:t>
            </w:r>
          </w:p>
        </w:tc>
        <w:tc>
          <w:tcPr>
            <w:tcW w:type="dxa" w:w="376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Statement</w:t>
            </w:r>
          </w:p>
        </w:tc>
        <w:tc>
          <w:tcPr>
            <w:tcW w:type="dxa" w:w="150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Owner</w:t>
            </w:r>
          </w:p>
        </w:tc>
        <w:tc>
          <w:tcPr>
            <w:tcW w:type="dxa" w:w="110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Status</w:t>
            </w:r>
          </w:p>
        </w:tc>
      </w:tr>
      <w:tr>
        <w:tc>
          <w:tcPr>
            <w:tcW w:type="dxa" w:w="12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POL-IAM-001</w:t>
            </w:r>
          </w:p>
        </w:tc>
        <w:tc>
          <w:tcPr>
            <w:tcW w:type="dxa" w:w="18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Least Privilege Access</w:t>
            </w:r>
          </w:p>
        </w:tc>
        <w:tc>
          <w:tcPr>
            <w:tcW w:type="dxa" w:w="37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All users granted minimum permissions required for their role</w:t>
            </w:r>
          </w:p>
        </w:tc>
        <w:tc>
          <w:tcPr>
            <w:tcW w:type="dxa" w:w="15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CISO</w:t>
            </w:r>
          </w:p>
        </w:tc>
        <w:tc>
          <w:tcPr>
            <w:tcW w:type="dxa" w:w="11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Active</w:t>
            </w:r>
          </w:p>
        </w:tc>
      </w:tr>
      <w:tr>
        <w:tc>
          <w:tcPr>
            <w:tcW w:type="dxa" w:w="12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POL-IAM-002</w:t>
            </w:r>
          </w:p>
        </w:tc>
        <w:tc>
          <w:tcPr>
            <w:tcW w:type="dxa" w:w="18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Role-Based Access Control</w:t>
            </w:r>
          </w:p>
        </w:tc>
        <w:tc>
          <w:tcPr>
            <w:tcW w:type="dxa" w:w="376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Access defined by job function; reviewed quarterly</w:t>
            </w:r>
          </w:p>
        </w:tc>
        <w:tc>
          <w:tcPr>
            <w:tcW w:type="dxa" w:w="15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IT Security</w:t>
            </w:r>
          </w:p>
        </w:tc>
        <w:tc>
          <w:tcPr>
            <w:tcW w:type="dxa" w:w="11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Active</w:t>
            </w:r>
          </w:p>
        </w:tc>
      </w:tr>
      <w:tr>
        <w:tc>
          <w:tcPr>
            <w:tcW w:type="dxa" w:w="12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POL-IAM-003</w:t>
            </w:r>
          </w:p>
        </w:tc>
        <w:tc>
          <w:tcPr>
            <w:tcW w:type="dxa" w:w="18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Privileged Account Management</w:t>
            </w:r>
          </w:p>
        </w:tc>
        <w:tc>
          <w:tcPr>
            <w:tcW w:type="dxa" w:w="37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Admin accounts separate from standard accounts; PAM tool required</w:t>
            </w:r>
          </w:p>
        </w:tc>
        <w:tc>
          <w:tcPr>
            <w:tcW w:type="dxa" w:w="15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IT Security</w:t>
            </w:r>
          </w:p>
        </w:tc>
        <w:tc>
          <w:tcPr>
            <w:tcW w:type="dxa" w:w="11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Active</w:t>
            </w:r>
          </w:p>
        </w:tc>
      </w:tr>
      <w:tr>
        <w:tc>
          <w:tcPr>
            <w:tcW w:type="dxa" w:w="12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POL-IAM-004</w:t>
            </w:r>
          </w:p>
        </w:tc>
        <w:tc>
          <w:tcPr>
            <w:tcW w:type="dxa" w:w="18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Access Recertification</w:t>
            </w:r>
          </w:p>
        </w:tc>
        <w:tc>
          <w:tcPr>
            <w:tcW w:type="dxa" w:w="376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All access reviewed and recertified every 90 days</w:t>
            </w:r>
          </w:p>
        </w:tc>
        <w:tc>
          <w:tcPr>
            <w:tcW w:type="dxa" w:w="15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Dept. Managers</w:t>
            </w:r>
          </w:p>
        </w:tc>
        <w:tc>
          <w:tcPr>
            <w:tcW w:type="dxa" w:w="11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Active</w:t>
            </w:r>
          </w:p>
        </w:tc>
      </w:tr>
      <w:tr>
        <w:tc>
          <w:tcPr>
            <w:tcW w:type="dxa" w:w="12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POL-IAM-005</w:t>
            </w:r>
          </w:p>
        </w:tc>
        <w:tc>
          <w:tcPr>
            <w:tcW w:type="dxa" w:w="18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Shared Account Prohibition</w:t>
            </w:r>
          </w:p>
        </w:tc>
        <w:tc>
          <w:tcPr>
            <w:tcW w:type="dxa" w:w="37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Shared or generic accounts prohibited except service accounts</w:t>
            </w:r>
          </w:p>
        </w:tc>
        <w:tc>
          <w:tcPr>
            <w:tcW w:type="dxa" w:w="15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CISO</w:t>
            </w:r>
          </w:p>
        </w:tc>
        <w:tc>
          <w:tcPr>
            <w:tcW w:type="dxa" w:w="11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Active</w:t>
            </w:r>
          </w:p>
        </w:tc>
      </w:tr>
      <w:tr>
        <w:tc>
          <w:tcPr>
            <w:tcW w:type="dxa" w:w="12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POL-IAM-006</w:t>
            </w:r>
          </w:p>
        </w:tc>
        <w:tc>
          <w:tcPr>
            <w:tcW w:type="dxa" w:w="18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Remote Access Policy</w:t>
            </w:r>
          </w:p>
        </w:tc>
        <w:tc>
          <w:tcPr>
            <w:tcW w:type="dxa" w:w="376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VPN + MFA required for all remote access to internal resources</w:t>
            </w:r>
          </w:p>
        </w:tc>
        <w:tc>
          <w:tcPr>
            <w:tcW w:type="dxa" w:w="15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IT Operations</w:t>
            </w:r>
          </w:p>
        </w:tc>
        <w:tc>
          <w:tcPr>
            <w:tcW w:type="dxa" w:w="11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Active</w:t>
            </w:r>
          </w:p>
        </w:tc>
      </w:tr>
      <w:tr>
        <w:tc>
          <w:tcPr>
            <w:tcW w:type="dxa" w:w="12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POL-IAM-007</w:t>
            </w:r>
          </w:p>
        </w:tc>
        <w:tc>
          <w:tcPr>
            <w:tcW w:type="dxa" w:w="18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Third-Party Access</w:t>
            </w:r>
          </w:p>
        </w:tc>
        <w:tc>
          <w:tcPr>
            <w:tcW w:type="dxa" w:w="37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Vendor access time-limited, logged, and approved by data owner</w:t>
            </w:r>
          </w:p>
        </w:tc>
        <w:tc>
          <w:tcPr>
            <w:tcW w:type="dxa" w:w="15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Procurement</w:t>
            </w:r>
          </w:p>
        </w:tc>
        <w:tc>
          <w:tcPr>
            <w:tcW w:type="dxa" w:w="11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Active</w:t>
            </w:r>
          </w:p>
        </w:tc>
      </w:tr>
    </w:tbl>
    <w:p>
      <w:pPr>
        <w:spacing w:after="80"/>
      </w:pPr>
      <w:r>
        <w:t xml:space="preserve"/>
      </w:r>
    </w:p>
    <w:p>
      <w:pPr>
        <w:pStyle w:val="Heading2"/>
        <w:pBdr>
          <w:bottom w:val="single" w:color="2E75B6" w:sz="4"/>
        </w:pBdr>
        <w:spacing w:after="120" w:before="240"/>
      </w:pPr>
      <w:r>
        <w:rPr>
          <w:b/>
          <w:bCs/>
          <w:color w:val="2E75B6"/>
          <w:sz w:val="26"/>
          <w:szCs w:val="26"/>
        </w:rPr>
        <w:t xml:space="preserve">4. Access Request Process</w:t>
      </w:r>
    </w:p>
    <w:p>
      <w:pPr>
        <w:pStyle w:val="ListParagraph"/>
        <w:numPr>
          <w:ilvl w:val="0"/>
          <w:numId w:val="2"/>
        </w:numPr>
      </w:pPr>
      <w:r>
        <w:rPr>
          <w:sz w:val="20"/>
          <w:szCs w:val="20"/>
        </w:rPr>
        <w:t xml:space="preserve">Requestor submits access request via ServiceNow ticketing system</w:t>
      </w:r>
    </w:p>
    <w:p>
      <w:pPr>
        <w:pStyle w:val="ListParagraph"/>
        <w:numPr>
          <w:ilvl w:val="0"/>
          <w:numId w:val="2"/>
        </w:numPr>
      </w:pPr>
      <w:r>
        <w:rPr>
          <w:sz w:val="20"/>
          <w:szCs w:val="20"/>
        </w:rPr>
        <w:t xml:space="preserve">Direct manager provides written approval for standard access</w:t>
      </w:r>
    </w:p>
    <w:p>
      <w:pPr>
        <w:pStyle w:val="ListParagraph"/>
        <w:numPr>
          <w:ilvl w:val="0"/>
          <w:numId w:val="2"/>
        </w:numPr>
      </w:pPr>
      <w:r>
        <w:rPr>
          <w:sz w:val="20"/>
          <w:szCs w:val="20"/>
        </w:rPr>
        <w:t xml:space="preserve">Data owner provides approval for sensitive data access</w:t>
      </w:r>
    </w:p>
    <w:p>
      <w:pPr>
        <w:pStyle w:val="ListParagraph"/>
        <w:numPr>
          <w:ilvl w:val="0"/>
          <w:numId w:val="2"/>
        </w:numPr>
      </w:pPr>
      <w:r>
        <w:rPr>
          <w:sz w:val="20"/>
          <w:szCs w:val="20"/>
        </w:rPr>
        <w:t xml:space="preserve">IT Security reviews privileged access requests</w:t>
      </w:r>
    </w:p>
    <w:p>
      <w:pPr>
        <w:pStyle w:val="ListParagraph"/>
        <w:numPr>
          <w:ilvl w:val="0"/>
          <w:numId w:val="2"/>
        </w:numPr>
      </w:pPr>
      <w:r>
        <w:rPr>
          <w:sz w:val="20"/>
          <w:szCs w:val="20"/>
        </w:rPr>
        <w:t xml:space="preserve">Provisioning completed within 2 business days of all approvals</w:t>
      </w:r>
    </w:p>
    <w:p>
      <w:pPr>
        <w:pStyle w:val="ListParagraph"/>
        <w:numPr>
          <w:ilvl w:val="0"/>
          <w:numId w:val="2"/>
        </w:numPr>
      </w:pPr>
      <w:r>
        <w:rPr>
          <w:sz w:val="20"/>
          <w:szCs w:val="20"/>
        </w:rPr>
        <w:t xml:space="preserve">Access confirmation sent to requestor and logged in IAM system</w:t>
      </w:r>
    </w:p>
    <w:p>
      <w:pPr>
        <w:spacing w:after="80"/>
      </w:pPr>
      <w:r>
        <w:t xml:space="preserve"/>
      </w:r>
    </w:p>
    <w:p>
      <w:pPr>
        <w:pStyle w:val="Heading2"/>
        <w:pBdr>
          <w:bottom w:val="single" w:color="2E75B6" w:sz="4"/>
        </w:pBdr>
        <w:spacing w:after="120" w:before="240"/>
      </w:pPr>
      <w:r>
        <w:rPr>
          <w:b/>
          <w:bCs/>
          <w:color w:val="2E75B6"/>
          <w:sz w:val="26"/>
          <w:szCs w:val="26"/>
        </w:rPr>
        <w:t xml:space="preserve">5. Violations</w:t>
      </w:r>
    </w:p>
    <w:p>
      <w:pPr>
        <w:spacing w:after="100"/>
      </w:pPr>
      <w:r>
        <w:rPr>
          <w:sz w:val="20"/>
          <w:szCs w:val="20"/>
        </w:rPr>
        <w:t xml:space="preserve">Violations of this policy may result in disciplinary action up to and including termination, and may be referred to law enforcement where applicable. All violations must be reported to the CISO within 24 hours of discovery.</w:t>
      </w:r>
    </w:p>
    <w:p>
      <w:pPr>
        <w:spacing w:after="80"/>
      </w:pPr>
      <w:r>
        <w:t xml:space="preserve"/>
      </w:r>
    </w:p>
    <w:p>
      <w:pPr>
        <w:pStyle w:val="Heading2"/>
        <w:pBdr>
          <w:bottom w:val="single" w:color="2E75B6" w:sz="4"/>
        </w:pBdr>
        <w:spacing w:after="120" w:before="240"/>
      </w:pPr>
      <w:r>
        <w:rPr>
          <w:b/>
          <w:bCs/>
          <w:color w:val="2E75B6"/>
          <w:sz w:val="26"/>
          <w:szCs w:val="26"/>
        </w:rPr>
        <w:t xml:space="preserve">6.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Role</w:t>
            </w:r>
          </w:p>
        </w:tc>
        <w:tc>
          <w:tcPr>
            <w:tcW w:type="dxa" w:w="312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Name</w:t>
            </w:r>
          </w:p>
        </w:tc>
        <w:tc>
          <w:tcPr>
            <w:tcW w:type="dxa" w:w="312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Date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CISO</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Sarah Mitchell</w:t>
            </w:r>
          </w:p>
        </w:tc>
        <w:tc>
          <w:tcPr>
            <w:tcW w:type="dxa" w:w="312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15 Nov 2023</w:t>
            </w:r>
          </w:p>
        </w:tc>
      </w:tr>
      <w:tr>
        <w:tc>
          <w:tcPr>
            <w:tcW w:type="dxa" w:w="312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CTO</w:t>
            </w:r>
          </w:p>
        </w:tc>
        <w:tc>
          <w:tcPr>
            <w:tcW w:type="dxa" w:w="312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James Okafor</w:t>
            </w:r>
          </w:p>
        </w:tc>
        <w:tc>
          <w:tcPr>
            <w:tcW w:type="dxa" w:w="312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18 Nov 2023</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Legal Counsel</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Priya Sharma</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20 Nov 2023</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2026-06-12T07:28:16.449Z</dcterms:created>
  <dcterms:modified xsi:type="dcterms:W3CDTF">2026-06-12T07:28:16.449Z</dcterms:modified>
</cp:coreProperties>
</file>

<file path=docProps/custom.xml><?xml version="1.0" encoding="utf-8"?>
<Properties xmlns="http://schemas.openxmlformats.org/officeDocument/2006/custom-properties" xmlns:vt="http://schemas.openxmlformats.org/officeDocument/2006/docPropsVTypes"/>
</file>