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0070C0"/>
          <w:sz w:val="48"/>
          <w:szCs w:val="48"/>
        </w:rPr>
        <w:t xml:space="preserve">ThinkByte.AI Knowledge Base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Company, Brand, Product &amp; Business Reference Document</w:t>
      </w:r>
    </w:p>
    <w:p>
      <w:pPr>
        <w:pBdr>
          <w:bottom w:val="single" w:color="0070C0" w:sz="6" w:space="1"/>
        </w:pBdr>
        <w:spacing w:after="3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01. Company Details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Core identifiers, entity, domain, industry, and business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Legal Entity Name: </w:t>
      </w:r>
      <w:r>
        <w:rPr>
          <w:rFonts w:ascii="Arial" w:cs="Arial" w:eastAsia="Arial" w:hAnsi="Arial"/>
          <w:sz w:val="22"/>
          <w:szCs w:val="22"/>
        </w:rPr>
        <w:t xml:space="preserve">ThinkByte Technologies Private Limited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[CIN: U62013KA2023PTC179630]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Name: </w:t>
      </w:r>
      <w:r>
        <w:rPr>
          <w:rFonts w:ascii="Arial" w:cs="Arial" w:eastAsia="Arial" w:hAnsi="Arial"/>
          <w:sz w:val="22"/>
          <w:szCs w:val="22"/>
        </w:rPr>
        <w:t xml:space="preserve">ThinkByte.AI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[Public-facing brand at thinkbyte.ai]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Incorporation Date: </w:t>
      </w:r>
      <w:r>
        <w:rPr>
          <w:rFonts w:ascii="Arial" w:cs="Arial" w:eastAsia="Arial" w:hAnsi="Arial"/>
          <w:sz w:val="22"/>
          <w:szCs w:val="22"/>
        </w:rPr>
        <w:t xml:space="preserve">October 11, 2023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[RoC-Bangalore, Private Limited (Unlisted)]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Website: </w:t>
      </w:r>
      <w:r>
        <w:rPr>
          <w:rFonts w:ascii="Arial" w:cs="Arial" w:eastAsia="Arial" w:hAnsi="Arial"/>
          <w:sz w:val="22"/>
          <w:szCs w:val="22"/>
        </w:rPr>
        <w:t xml:space="preserve">https://thinkbyte.ai/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[Primary domain]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Registered Address: </w:t>
      </w:r>
      <w:r>
        <w:rPr>
          <w:rFonts w:ascii="Arial" w:cs="Arial" w:eastAsia="Arial" w:hAnsi="Arial"/>
          <w:sz w:val="22"/>
          <w:szCs w:val="22"/>
        </w:rPr>
        <w:t xml:space="preserve">No. 235, 13th Cross, Hoysala Nagar 2nd Stage, Bangalore North, Karnataka 560038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Email: </w:t>
      </w:r>
      <w:r>
        <w:rPr>
          <w:rFonts w:ascii="Arial" w:cs="Arial" w:eastAsia="Arial" w:hAnsi="Arial"/>
          <w:sz w:val="22"/>
          <w:szCs w:val="22"/>
        </w:rPr>
        <w:t xml:space="preserve">hello@thinkbyte.ai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[Shared across ThinkByte group brands]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Phone: </w:t>
      </w:r>
      <w:r>
        <w:rPr>
          <w:rFonts w:ascii="Arial" w:cs="Arial" w:eastAsia="Arial" w:hAnsi="Arial"/>
          <w:sz w:val="22"/>
          <w:szCs w:val="22"/>
        </w:rPr>
        <w:t xml:space="preserve">+91 951596-8690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Industry: </w:t>
      </w:r>
      <w:r>
        <w:rPr>
          <w:rFonts w:ascii="Arial" w:cs="Arial" w:eastAsia="Arial" w:hAnsi="Arial"/>
          <w:sz w:val="22"/>
          <w:szCs w:val="22"/>
        </w:rPr>
        <w:t xml:space="preserve">AI Consulting &amp; Development / Enterprise Software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Model: </w:t>
      </w:r>
      <w:r>
        <w:rPr>
          <w:rFonts w:ascii="Arial" w:cs="Arial" w:eastAsia="Arial" w:hAnsi="Arial"/>
          <w:sz w:val="22"/>
          <w:szCs w:val="22"/>
        </w:rPr>
        <w:t xml:space="preserve">B2B — Managed Teams, Scope-Based Projects, Platform SaaS (DevByte)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[Three revenue streams]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Funding Status: </w:t>
      </w:r>
      <w:r>
        <w:rPr>
          <w:rFonts w:ascii="Arial" w:cs="Arial" w:eastAsia="Arial" w:hAnsi="Arial"/>
          <w:sz w:val="22"/>
          <w:szCs w:val="22"/>
        </w:rPr>
        <w:t xml:space="preserve">Bootstrapped / Unfunded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[As of March 2026]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Size: </w:t>
      </w:r>
      <w:r>
        <w:rPr>
          <w:rFonts w:ascii="Arial" w:cs="Arial" w:eastAsia="Arial" w:hAnsi="Arial"/>
          <w:sz w:val="22"/>
          <w:szCs w:val="22"/>
        </w:rPr>
        <w:t xml:space="preserve">10+ agent orchestration experts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[Includes engineers, PMs, architects]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Co-Founders: </w:t>
      </w:r>
      <w:r>
        <w:rPr>
          <w:rFonts w:ascii="Arial" w:cs="Arial" w:eastAsia="Arial" w:hAnsi="Arial"/>
          <w:sz w:val="22"/>
          <w:szCs w:val="22"/>
        </w:rPr>
        <w:t xml:space="preserve">Vinay Kumar Kovvuri (DIN: 10350408), SriHarsha Thota (DIN: 10850317), Raghu G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[BITS Pilani + XLRI leadership]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02. Brand Philosophy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Vision, mission, tagline, brand promise, core values, and brand story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Tagline: </w:t>
      </w:r>
      <w:r>
        <w:rPr>
          <w:rFonts w:ascii="Arial" w:cs="Arial" w:eastAsia="Arial" w:hAnsi="Arial"/>
          <w:sz w:val="22"/>
          <w:szCs w:val="22"/>
        </w:rPr>
        <w:t xml:space="preserve">Where AI Strategy Becomes AI in Production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[Hero section, deck covers, email signatures]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Mission: </w:t>
      </w:r>
      <w:r>
        <w:rPr>
          <w:rFonts w:ascii="Arial" w:cs="Arial" w:eastAsia="Arial" w:hAnsi="Arial"/>
          <w:sz w:val="22"/>
          <w:szCs w:val="22"/>
        </w:rPr>
        <w:t xml:space="preserve">Build production-grade AI agent solutions that deliver measurable business outcomes — not demos.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Vision: </w:t>
      </w:r>
      <w:r>
        <w:rPr>
          <w:rFonts w:ascii="Arial" w:cs="Arial" w:eastAsia="Arial" w:hAnsi="Arial"/>
          <w:sz w:val="22"/>
          <w:szCs w:val="22"/>
        </w:rPr>
        <w:t xml:space="preserve">Position ThinkByte as the global leader in ethical, practical, and scalable AI agent systems.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Promise: </w:t>
      </w:r>
      <w:r>
        <w:rPr>
          <w:rFonts w:ascii="Arial" w:cs="Arial" w:eastAsia="Arial" w:hAnsi="Arial"/>
          <w:sz w:val="22"/>
          <w:szCs w:val="22"/>
        </w:rPr>
        <w:t xml:space="preserve">Agency-level reliability at startup speed. 2x faster delivery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Core Values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1: </w:t>
      </w:r>
      <w:r>
        <w:rPr>
          <w:rFonts w:ascii="Arial" w:cs="Arial" w:eastAsia="Arial" w:hAnsi="Arial"/>
          <w:sz w:val="22"/>
          <w:szCs w:val="22"/>
        </w:rPr>
        <w:t xml:space="preserve">Human-First AI — AI augments humans, never replaces them.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[Emphasise in healthcare &amp; enterprise pitches]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2: </w:t>
      </w:r>
      <w:r>
        <w:rPr>
          <w:rFonts w:ascii="Arial" w:cs="Arial" w:eastAsia="Arial" w:hAnsi="Arial"/>
          <w:sz w:val="22"/>
          <w:szCs w:val="22"/>
        </w:rPr>
        <w:t xml:space="preserve">Practical Innovation — solutions must outperform human-driven approaches.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[Framework-selection / consulting context]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3: </w:t>
      </w:r>
      <w:r>
        <w:rPr>
          <w:rFonts w:ascii="Arial" w:cs="Arial" w:eastAsia="Arial" w:hAnsi="Arial"/>
          <w:sz w:val="22"/>
          <w:szCs w:val="22"/>
        </w:rPr>
        <w:t xml:space="preserve">Ethical AI — transparency, fairness, accountability, data privacy.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[Mandatory in HIPAA / compliance discussions]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4: </w:t>
      </w:r>
      <w:r>
        <w:rPr>
          <w:rFonts w:ascii="Arial" w:cs="Arial" w:eastAsia="Arial" w:hAnsi="Arial"/>
          <w:sz w:val="22"/>
          <w:szCs w:val="22"/>
        </w:rPr>
        <w:t xml:space="preserve">Production-First Mindset — 30+ production deployments as proof.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Brand Story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Founded by BITS Pilani &amp; XLRI alumni who saw 87% of enterprise AI projects die before production. ThinkByte closes the implementation gap with a managed team model, proven LangGraph expertise, and a 70% cost advantage over US-native rates.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03. Brand Voice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Tone, style rules, approved phrases, banned AI markers, and approved transitions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4560"/>
        <w:gridCol w:w="2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Guideline / Example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Tone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Confident, direct, outcomes-focused. Speak like a senior engineer who's shipped 30+ systems — not a sales rep.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Credibility is the brand's core asset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 — Technical Docs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Precise, step-by-step, minimal jargon. Lead with what the reader needs to do.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Engineers value brevity and clarity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 — Case Studies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Narrative: Situation → Complication → Action → Result. Quantify everything.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Proves ROI without puffery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 — Social / LinkedIn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First-person plural ('We built…'), short sentences, one idea per post, end with insight.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favours punchy, skimmable 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Phrase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'Production-grade, not just a POC'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Addresses #1 buyer fear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Phrase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'Agency-level reliability at startup speed'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differentiator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Phrase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'We've shipped 30+ AI systems to production'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Credibility anchor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Phrase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'LangGraph is all we do'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Specialist positioning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Phrase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'Start this week, not next month'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differentiator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Phrase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'Silicon Valley strategy + Bangalore engineering'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India-US corridor narrative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Phrase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'Measurable outcomes: 90% automation, 60% cost reduction'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Proof-point shorthand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Phrase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'Human-in-loop quality control at every critical stage'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Ethical AI positioning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'We leverage cutting-edge AI to synergize…'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AI agency cliché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'Revolutionary / Disruptive / Game-changing'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Overused; undermines credibility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'We can do anything with AI'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Generalist = not ThinkByte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'Trust us' without proof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pair claim with case study metric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Banned AI Marker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sentences with 'Certainly!' or 'Absolutely!'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Sounds robotic/generic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Banned AI Marker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Excessive em-dashes in a single paragraph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Over-formatted, AI tell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Banned AI Marker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'It's important to note that…'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Filler; cut always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Banned AI Marker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 today's rapidly evolving landscape…'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Clichéd opener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Banned AI Marker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 lists for everything — prose where possible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 AI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Transition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'Here's what that means in practice:'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Bridges claim to evidence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Transition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'The result:'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into quantified outcome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Transition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'Why it matters:'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feature to buyer pain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Transition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we built:'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case study section header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Readability 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Flesch-Kincaid Grade 8–10 for marketing copy; Grade 12 for technical docs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audience accessibility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 Length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≤ 20 words per sentence in marketing copy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Improves scannability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Voice Rule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 active voice. 'We built a 20-agent pipeline' not 'A pipeline was built'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and clarity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04. Product — DevByte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Product description, target audience, key features, pricing, differentiators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Name: </w:t>
      </w:r>
      <w:r>
        <w:rPr>
          <w:rFonts w:ascii="Arial" w:cs="Arial" w:eastAsia="Arial" w:hAnsi="Arial"/>
          <w:sz w:val="22"/>
          <w:szCs w:val="22"/>
        </w:rPr>
        <w:t xml:space="preserve">DevByte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Tagline: </w:t>
      </w:r>
      <w:r>
        <w:rPr>
          <w:rFonts w:ascii="Arial" w:cs="Arial" w:eastAsia="Arial" w:hAnsi="Arial"/>
          <w:sz w:val="22"/>
          <w:szCs w:val="22"/>
        </w:rPr>
        <w:t xml:space="preserve">'Jira meets AI coding agents' — Project management + autonomous AI code execution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Type: </w:t>
      </w:r>
      <w:r>
        <w:rPr>
          <w:rFonts w:ascii="Arial" w:cs="Arial" w:eastAsia="Arial" w:hAnsi="Arial"/>
          <w:sz w:val="22"/>
          <w:szCs w:val="22"/>
        </w:rPr>
        <w:t xml:space="preserve">AI-Driven SDLC Automation Platform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[Internal + B2B]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Status: </w:t>
      </w:r>
      <w:r>
        <w:rPr>
          <w:rFonts w:ascii="Arial" w:cs="Arial" w:eastAsia="Arial" w:hAnsi="Arial"/>
          <w:sz w:val="22"/>
          <w:szCs w:val="22"/>
        </w:rPr>
        <w:t xml:space="preserve">Coming Soon / First paying client: GVS Tech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[Active delivery as of March 2026]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Audience: </w:t>
      </w:r>
      <w:r>
        <w:rPr>
          <w:rFonts w:ascii="Arial" w:cs="Arial" w:eastAsia="Arial" w:hAnsi="Arial"/>
          <w:sz w:val="22"/>
          <w:szCs w:val="22"/>
        </w:rPr>
        <w:t xml:space="preserve">Engineering teams, CTOs, Product Managers at tech companies building AI products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Lead: </w:t>
      </w:r>
      <w:r>
        <w:rPr>
          <w:rFonts w:ascii="Arial" w:cs="Arial" w:eastAsia="Arial" w:hAnsi="Arial"/>
          <w:sz w:val="22"/>
          <w:szCs w:val="22"/>
        </w:rPr>
        <w:t xml:space="preserve">Vinay Kumar Kovvuri (Co-Founder)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[Deep LangGraph expertise]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 </w:t>
      </w:r>
      <w:r>
        <w:rPr>
          <w:rFonts w:ascii="Arial" w:cs="Arial" w:eastAsia="Arial" w:hAnsi="Arial"/>
          <w:sz w:val="22"/>
          <w:szCs w:val="22"/>
        </w:rPr>
        <w:t xml:space="preserve">React.js, Next.js, TypeScript, Node.js, Python, OpenAI, Claude APIs, LangGraph, MCP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 Point: </w:t>
      </w:r>
      <w:r>
        <w:rPr>
          <w:rFonts w:ascii="Arial" w:cs="Arial" w:eastAsia="Arial" w:hAnsi="Arial"/>
          <w:sz w:val="22"/>
          <w:szCs w:val="22"/>
        </w:rPr>
        <w:t xml:space="preserve">'2-3x faster delivery' for ThinkByte managed teams using DevByte internally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Key Features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Planning (Web App): </w:t>
      </w:r>
      <w:r>
        <w:rPr>
          <w:rFonts w:ascii="Arial" w:cs="Arial" w:eastAsia="Arial" w:hAnsi="Arial"/>
          <w:sz w:val="22"/>
          <w:szCs w:val="22"/>
        </w:rPr>
        <w:t xml:space="preserve">AI planning agents create PRDs, architecture docs, and stories. Agents: Analyst, PM, Architect, Scrum Master. Output: Specs + knowledge base.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(Desktop App): </w:t>
      </w:r>
      <w:r>
        <w:rPr>
          <w:rFonts w:ascii="Arial" w:cs="Arial" w:eastAsia="Arial" w:hAnsi="Arial"/>
          <w:sz w:val="22"/>
          <w:szCs w:val="22"/>
        </w:rPr>
        <w:t xml:space="preserve">AI coding agents execute tasks in isolated Git worktrees. 90% one-shot success rate. Parallel story development. Real-time progress via MCP.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&amp; Deploy: </w:t>
      </w:r>
      <w:r>
        <w:rPr>
          <w:rFonts w:ascii="Arial" w:cs="Arial" w:eastAsia="Arial" w:hAnsi="Arial"/>
          <w:sz w:val="22"/>
          <w:szCs w:val="22"/>
        </w:rPr>
        <w:t xml:space="preserve">Human review + approval gates before merge. Human-in-loop at critical stage.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3-Tier Knowledge System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1 — Platform: </w:t>
      </w:r>
      <w:r>
        <w:rPr>
          <w:rFonts w:ascii="Arial" w:cs="Arial" w:eastAsia="Arial" w:hAnsi="Arial"/>
          <w:sz w:val="22"/>
          <w:szCs w:val="22"/>
        </w:rPr>
        <w:t xml:space="preserve">Generic framework docs (LangGraph, Supabase, Python). Provided by DevByte.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2 — Organisation: </w:t>
      </w:r>
      <w:r>
        <w:rPr>
          <w:rFonts w:ascii="Arial" w:cs="Arial" w:eastAsia="Arial" w:hAnsi="Arial"/>
          <w:sz w:val="22"/>
          <w:szCs w:val="22"/>
        </w:rPr>
        <w:t xml:space="preserve">Company standards, coding conventions, tech stack preferences. Applies across all projects.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3 — Project: </w:t>
      </w:r>
      <w:r>
        <w:rPr>
          <w:rFonts w:ascii="Arial" w:cs="Arial" w:eastAsia="Arial" w:hAnsi="Arial"/>
          <w:sz w:val="22"/>
          <w:szCs w:val="22"/>
        </w:rPr>
        <w:t xml:space="preserve">PRDs, architecture docs, ADRs, business rules. Overrides org defaults when needed.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Context quality = output quality. Key differentiator vs GitHub Copilot and Cursor.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Differentiator vs Copilot/Cursor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DevByte operates at the workflow level (stories, PRDs, architecture) — not just code completion. Supports parallel agent execution and full project context.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07. Business Goals &amp; KPIs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Primary goals, KPIs, sales cycle, decision makers, deal sizes, objections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0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/ Detail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managed team engagements (6-month minimum)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$5,500–$6,500/month per 3-engineer team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scope-based AI projects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$5K; sweet spot $25K–$100K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DevByte platform to paying SaaS customers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Beta / waitlist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DevByte to B2B clients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client: GVS Deck (March 2026)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Gen KPI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calls booked per month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[To confirm — benchmark TBD]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Gen KPI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leads from SEO / LinkedIn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[To confirm]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KPI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Recurring Revenue (MRR) from managed teams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[To confirm]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KPI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project value (scope-based)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$25K–$50K medium projects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KPI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discovery call to Sprint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14 days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KPI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speed guarantee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faster than client estimate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Cycle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enterprise sales cycle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30–90 days from first contact to SOW sign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buyer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 / VP Engineering / Founder (technical)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influencer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CPO / COO / Business Owner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Size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 / Pilot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$5K–$10K / 2–4 weeks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Size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product engagement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$25K–$100K / 2–6 months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Objection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'How do I know you won't ghost?'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Counter: Managed team model, dedicated PM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Objection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'We tried AI before and it failed'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Counter: 87% of AI projects die — we close the gap. Show case study metrics.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09. Compliance &amp; Disclaimers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YMYL tier, prohibited phrases, required disclaimers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800"/>
        <w:gridCol w:w="4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 / Example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YMYL — Healthcare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content (Anvayaa, EpiRelief)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YMYL — requires clinical accuracy; label as 'technology platform', not medical device.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YMYL — Financial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content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YMYL — always add '+18% GST applicable on INR transactions'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data handling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'Strict data privacy protocols and data anonymisation in place'. Do not share client data without written consent.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Disclaimer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Custom-built code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standard SOW: client owns 100% of custom-built code. ThinkByte retains platform infrastructure IP.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 Claims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study statistics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cite source context, e.g. '860% organic growth for a water dispenser brand in 90 days (SeoByte case study, 2025)'.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Prohibited Phrase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'Guaranteed results' for SEO / traffic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guarantee search engine outcomes. Use 'proven results' + specific case study instead.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Prohibited Phrase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'HIPAA certified'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ThinkByte builds HIPAA-compliant architecture — but is not HIPAA certified. Say 'HIPAA-compliant architecture'.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Prohibited Phrase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'AI replaces your team'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value: AI augments humans. Never position as headcount replacement.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 Claim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Anvayaa dementia care 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 'patent-pending' — not 'patented'. Application filed; not yet granted.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Notice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INR pricing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'+ 18% GST applicable on all Indian transactions'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costs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/ Cloud costs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Explicitly state: 'Third-party LLM costs (OpenAI, Anthropic) and cloud hosting billed separately unless specified in SOW'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quotes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only verbatim approved client quotes. Do not paraphrase testimonials.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validity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cards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'Rates valid for 12 months from engagement start. Subject to change for new engagements.'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70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2026-05-18T18:04:41.814Z</dcterms:created>
  <dcterms:modified xsi:type="dcterms:W3CDTF">2026-05-18T18:04:41.814Z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