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0070C0"/>
          <w:sz w:val="48"/>
          <w:szCs w:val="48"/>
        </w:rPr>
        <w:t xml:space="preserve">EmbedByte Knowledge Base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Firmware Intelligence Platform — Product &amp; Brand Reference Document</w:t>
      </w:r>
    </w:p>
    <w:p>
      <w:pPr>
        <w:pBdr>
          <w:bottom w:val="single" w:color="0070C0" w:sz="6" w:space="1"/>
        </w:pBdr>
        <w:spacing w:after="3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01. Company Details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Core identifiers, entity, domain, industry, business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Identifiers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Entity Name: </w:t>
      </w:r>
      <w:r>
        <w:rPr>
          <w:rFonts w:ascii="Arial" w:cs="Arial" w:eastAsia="Arial" w:hAnsi="Arial"/>
          <w:sz w:val="22"/>
          <w:szCs w:val="22"/>
        </w:rPr>
        <w:t xml:space="preserve">ThinkByte Technologies Private Limited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[CIN: U62013KA2023PTC179630]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Name: </w:t>
      </w:r>
      <w:r>
        <w:rPr>
          <w:rFonts w:ascii="Arial" w:cs="Arial" w:eastAsia="Arial" w:hAnsi="Arial"/>
          <w:sz w:val="22"/>
          <w:szCs w:val="22"/>
        </w:rPr>
        <w:t xml:space="preserve">EmbedByte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[Sub-brand of DevByte / ThinkByte]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 Product: </w:t>
      </w:r>
      <w:r>
        <w:rPr>
          <w:rFonts w:ascii="Arial" w:cs="Arial" w:eastAsia="Arial" w:hAnsi="Arial"/>
          <w:sz w:val="22"/>
          <w:szCs w:val="22"/>
        </w:rPr>
        <w:t xml:space="preserve">DevByte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[AI-SDLC platform by ThinkByte]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</w:t>
      </w:r>
      <w:r>
        <w:rPr>
          <w:rFonts w:ascii="Arial" w:cs="Arial" w:eastAsia="Arial" w:hAnsi="Arial"/>
          <w:sz w:val="22"/>
          <w:szCs w:val="22"/>
        </w:rPr>
        <w:t xml:space="preserve">TBD (embed-byte.ai inferred)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[No public website confirmed at time of docs]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 Address: </w:t>
      </w:r>
      <w:r>
        <w:rPr>
          <w:rFonts w:ascii="Arial" w:cs="Arial" w:eastAsia="Arial" w:hAnsi="Arial"/>
          <w:sz w:val="22"/>
          <w:szCs w:val="22"/>
        </w:rPr>
        <w:t xml:space="preserve">No. 235, 13th Cross, Hoyasala Nagar 2nd Stage, Bangalore, Karnataka 560038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Domain &amp; Industry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Domain: </w:t>
      </w:r>
      <w:r>
        <w:rPr>
          <w:rFonts w:ascii="Arial" w:cs="Arial" w:eastAsia="Arial" w:hAnsi="Arial"/>
          <w:sz w:val="22"/>
          <w:szCs w:val="22"/>
        </w:rPr>
        <w:t xml:space="preserve">Embedded Systems / Firmware Engineering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Verticals: </w:t>
      </w:r>
      <w:r>
        <w:rPr>
          <w:rFonts w:ascii="Arial" w:cs="Arial" w:eastAsia="Arial" w:hAnsi="Arial"/>
          <w:sz w:val="22"/>
          <w:szCs w:val="22"/>
        </w:rPr>
        <w:t xml:space="preserve">Railway, Automotive, Industrial, Medical, Aerospace, Defense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[Priority order per GTM doc]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 </w:t>
      </w:r>
      <w:r>
        <w:rPr>
          <w:rFonts w:ascii="Arial" w:cs="Arial" w:eastAsia="Arial" w:hAnsi="Arial"/>
          <w:sz w:val="22"/>
          <w:szCs w:val="22"/>
        </w:rPr>
        <w:t xml:space="preserve">B2B SaaS — Per-seat annual subscription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Founders &amp; Leadership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(Product): </w:t>
      </w:r>
      <w:r>
        <w:rPr>
          <w:rFonts w:ascii="Arial" w:cs="Arial" w:eastAsia="Arial" w:hAnsi="Arial"/>
          <w:sz w:val="22"/>
          <w:szCs w:val="22"/>
        </w:rPr>
        <w:t xml:space="preserve">Vinay Kovvuri (Vinay Kumar Reddy Kovvuri)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[BITS Pilani; 10+ yrs AI/ML product leadership]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(Ops): </w:t>
      </w:r>
      <w:r>
        <w:rPr>
          <w:rFonts w:ascii="Arial" w:cs="Arial" w:eastAsia="Arial" w:hAnsi="Arial"/>
          <w:sz w:val="22"/>
          <w:szCs w:val="22"/>
        </w:rPr>
        <w:t xml:space="preserve">SriHarsha Thota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[Co-leads ThinkByte Technologies]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(Growth): </w:t>
      </w:r>
      <w:r>
        <w:rPr>
          <w:rFonts w:ascii="Arial" w:cs="Arial" w:eastAsia="Arial" w:hAnsi="Arial"/>
          <w:sz w:val="22"/>
          <w:szCs w:val="22"/>
        </w:rPr>
        <w:t xml:space="preserve">Raghu Gorrela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[BITS Pilani + XLRI Jamshedpur]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Paying Client: </w:t>
      </w:r>
      <w:r>
        <w:rPr>
          <w:rFonts w:ascii="Arial" w:cs="Arial" w:eastAsia="Arial" w:hAnsi="Arial"/>
          <w:sz w:val="22"/>
          <w:szCs w:val="22"/>
        </w:rPr>
        <w:t xml:space="preserve">GVS Deck — Railway Embedded (STM32 controllers)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[GVS-DECK project; live March 2026]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02. Brand Philosophy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Vision, mission, tagline, promise, core values, brand 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Vision &amp; Mission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Vision: </w:t>
      </w:r>
      <w:r>
        <w:rPr>
          <w:rFonts w:ascii="Arial" w:cs="Arial" w:eastAsia="Arial" w:hAnsi="Arial"/>
          <w:sz w:val="22"/>
          <w:szCs w:val="22"/>
        </w:rPr>
        <w:t xml:space="preserve">Make safety-critical firmware development 10× faster without compromising compliance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Mission: </w:t>
      </w:r>
      <w:r>
        <w:rPr>
          <w:rFonts w:ascii="Arial" w:cs="Arial" w:eastAsia="Arial" w:hAnsi="Arial"/>
          <w:sz w:val="22"/>
          <w:szCs w:val="22"/>
        </w:rPr>
        <w:t xml:space="preserve">Eliminate compliance overhead so embedded engineers can focus on innovation, not documentation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Positioning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Not a code generator. A Firmware Intelligence Platform.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One-Liner: </w:t>
      </w:r>
      <w:r>
        <w:rPr>
          <w:rFonts w:ascii="Arial" w:cs="Arial" w:eastAsia="Arial" w:hAnsi="Arial"/>
          <w:sz w:val="22"/>
          <w:szCs w:val="22"/>
        </w:rPr>
        <w:t xml:space="preserve">AI platform that reads your codebase, understands your hardware, and generates compliant firmware automatically — in under 10 minutes.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Promise: </w:t>
      </w:r>
      <w:r>
        <w:rPr>
          <w:rFonts w:ascii="Arial" w:cs="Arial" w:eastAsia="Arial" w:hAnsi="Arial"/>
          <w:sz w:val="22"/>
          <w:szCs w:val="22"/>
        </w:rPr>
        <w:t xml:space="preserve">MISRA C:2025-compliant firmware from day one — no prompt engineering, no re-verification loops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Values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1 — Compliance-First: </w:t>
      </w:r>
      <w:r>
        <w:rPr>
          <w:rFonts w:ascii="Arial" w:cs="Arial" w:eastAsia="Arial" w:hAnsi="Arial"/>
          <w:sz w:val="22"/>
          <w:szCs w:val="22"/>
        </w:rPr>
        <w:t xml:space="preserve">Builds MISRA-compliant code from the ground up, not just detection after the fact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2 — Domain Depth over Breadth: </w:t>
      </w:r>
      <w:r>
        <w:rPr>
          <w:rFonts w:ascii="Arial" w:cs="Arial" w:eastAsia="Arial" w:hAnsi="Arial"/>
          <w:sz w:val="22"/>
          <w:szCs w:val="22"/>
        </w:rPr>
        <w:t xml:space="preserve">Purpose-built for embedded; niche credibility beats general-purpose marketing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3 — Engineer Respect: </w:t>
      </w:r>
      <w:r>
        <w:rPr>
          <w:rFonts w:ascii="Arial" w:cs="Arial" w:eastAsia="Arial" w:hAnsi="Arial"/>
          <w:sz w:val="22"/>
          <w:szCs w:val="22"/>
        </w:rPr>
        <w:t xml:space="preserve">Saves senior engineers from repetitive documentation 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Brand 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Embedded engineers spend 40% of their time NOT writing code — burned on MISRA justifications, SDD writing, and re-verification. General AI tools offer zero domain help. EmbedByte was built to fix this.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03. Brand Voice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Tone, style, approved phrases, never-do rules, banned AI markers, approved transitions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900"/>
        <w:gridCol w:w="5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authority — confident, precise, no fluff. Speak to senior embedded engineers as peers.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Pragmatic urgency — cost of NOT using EmbedByte is real and quantified. Use data: 40% time lost, 8 hrs per SIL-4 driver, $200/line.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ego — let the proof speak (live deployment, zero violations). Avoid superlatives without evidence.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Length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declarative sentences preferred; max 25 words for key claims.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Domain-fluent: use MISRA, HAL, LL, ISR, RTOS, ASIL, SIL, DMA freely. No need to define for target audience.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Numbers Policy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'40% developer time lost' not 'a lot of time lost'.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voice always. 'EmbedByte generates…' not 'Firmware is generated by…'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person for CTAs and UX copy; third person for case studies.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'Stop fighting MISRA violations you didn't write.' (Champion persona)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'Generate compliant code from day 1.'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'Replace 3 tools with one.' (Economic buyer)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'Cut compliance overhead by 40%.'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'Built to produce certification evidence — not just flag violations.' (Safety manager)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code leaves your environment.' (IT/security blocker)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'Zero violations on first pass.' (Live GVS-DECK proof point)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Phrases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'General AI tools generate code. EmbedByte generates certified embedded firmware.'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claim AI is 'intelligent' without a specific example.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'cutting-edge', 'revolutionary', 'game-changing'.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compare to Copilot without a specific, verifiable differentiator.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make compliance guarantees — use 'targets', 'designed for', 'output checked against'.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Rules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Never-Do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passive voice in product claims.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 today's fast-paced world…' — Filler opener.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'Leveraging…' / 'Utilizing…' — Corporate fluff.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'It's worth noting that…' — Hedge filler.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'Delve into…' — AI-tell phrase.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AI Markers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'Comprehensive solution' — Meaningless without specifics.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'EmbedByte eliminates this by…' — When contrasting with competitor pain.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Transitions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'Here's what that means in practice:' — Before showing a real example or stat.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04. Product — EmbedByte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description, target audience, key features, pricing, differentiators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Category: </w:t>
      </w:r>
      <w:r>
        <w:rPr>
          <w:rFonts w:ascii="Arial" w:cs="Arial" w:eastAsia="Arial" w:hAnsi="Arial"/>
          <w:sz w:val="22"/>
          <w:szCs w:val="22"/>
        </w:rPr>
        <w:t xml:space="preserve">AI Firmware Intelligence Platform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Description: </w:t>
      </w:r>
      <w:r>
        <w:rPr>
          <w:rFonts w:ascii="Arial" w:cs="Arial" w:eastAsia="Arial" w:hAnsi="Arial"/>
          <w:sz w:val="22"/>
          <w:szCs w:val="22"/>
        </w:rPr>
        <w:t xml:space="preserve">Reads your codebase + hardware datasheets, builds full project context (MCU registers, RTOS patterns, compliance constraints), generates new firmware automatically in the same style and compliance level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4-Step Workflow: </w:t>
      </w:r>
      <w:r>
        <w:rPr>
          <w:rFonts w:ascii="Arial" w:cs="Arial" w:eastAsia="Arial" w:hAnsi="Arial"/>
          <w:sz w:val="22"/>
          <w:szCs w:val="22"/>
        </w:rPr>
        <w:t xml:space="preserve">1. Ingest (one-time setup) → 2. Understand (MCU, RTOS, compliance) → 3. Generate (compliant firmware) → 4. Verify (auto-checked vs MISRA C:2025)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to First Output: </w:t>
      </w:r>
      <w:r>
        <w:rPr>
          <w:rFonts w:ascii="Arial" w:cs="Arial" w:eastAsia="Arial" w:hAnsi="Arial"/>
          <w:sz w:val="22"/>
          <w:szCs w:val="22"/>
        </w:rPr>
        <w:t xml:space="preserve">Under 10 minutes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Target Audience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User / Champion: </w:t>
      </w:r>
      <w:r>
        <w:rPr>
          <w:rFonts w:ascii="Arial" w:cs="Arial" w:eastAsia="Arial" w:hAnsi="Arial"/>
          <w:sz w:val="22"/>
          <w:szCs w:val="22"/>
        </w:rPr>
        <w:t xml:space="preserve">Lead / Principal Embedded Engineer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Economic Buyer: </w:t>
      </w:r>
      <w:r>
        <w:rPr>
          <w:rFonts w:ascii="Arial" w:cs="Arial" w:eastAsia="Arial" w:hAnsi="Arial"/>
          <w:sz w:val="22"/>
          <w:szCs w:val="22"/>
        </w:rPr>
        <w:t xml:space="preserve">CTO / VP Engineering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Gatekeeper: </w:t>
      </w:r>
      <w:r>
        <w:rPr>
          <w:rFonts w:ascii="Arial" w:cs="Arial" w:eastAsia="Arial" w:hAnsi="Arial"/>
          <w:sz w:val="22"/>
          <w:szCs w:val="22"/>
        </w:rPr>
        <w:t xml:space="preserve">Safety Manager / Functional Safety Engineer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Blocker: </w:t>
      </w:r>
      <w:r>
        <w:rPr>
          <w:rFonts w:ascii="Arial" w:cs="Arial" w:eastAsia="Arial" w:hAnsi="Arial"/>
          <w:sz w:val="22"/>
          <w:szCs w:val="22"/>
        </w:rPr>
        <w:t xml:space="preserve">IT / Security / Procurement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ICP Company Profile: </w:t>
      </w:r>
      <w:r>
        <w:rPr>
          <w:rFonts w:ascii="Arial" w:cs="Arial" w:eastAsia="Arial" w:hAnsi="Arial"/>
          <w:sz w:val="22"/>
          <w:szCs w:val="22"/>
        </w:rPr>
        <w:t xml:space="preserve">50–500 employees; 20–100 embedded engineers; STM32 / ARM Cortex-M; at least one compliance standard (MISRA, ISO 26262, IEC 62304, IEC 61508, EN 50128)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Features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MISRA C:2025 Compliance: </w:t>
      </w:r>
      <w:r>
        <w:rPr>
          <w:rFonts w:ascii="Arial" w:cs="Arial" w:eastAsia="Arial" w:hAnsi="Arial"/>
          <w:sz w:val="22"/>
          <w:szCs w:val="22"/>
        </w:rPr>
        <w:t xml:space="preserve">Built-in; all rule categories enforced; zero violations on GVS-DECK first pass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 Support (Live): </w:t>
      </w:r>
      <w:r>
        <w:rPr>
          <w:rFonts w:ascii="Arial" w:cs="Arial" w:eastAsia="Arial" w:hAnsi="Arial"/>
          <w:sz w:val="22"/>
          <w:szCs w:val="22"/>
        </w:rPr>
        <w:t xml:space="preserve">STM32F7/F4/H7 &amp; ARM Cortex-M0–M7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 Support (Q3 2026): </w:t>
      </w:r>
      <w:r>
        <w:rPr>
          <w:rFonts w:ascii="Arial" w:cs="Arial" w:eastAsia="Arial" w:hAnsi="Arial"/>
          <w:sz w:val="22"/>
          <w:szCs w:val="22"/>
        </w:rPr>
        <w:t xml:space="preserve">ESP32, NXP S32K, AURIX TriCore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 Support (Planned): </w:t>
      </w:r>
      <w:r>
        <w:rPr>
          <w:rFonts w:ascii="Arial" w:cs="Arial" w:eastAsia="Arial" w:hAnsi="Arial"/>
          <w:sz w:val="22"/>
          <w:szCs w:val="22"/>
        </w:rPr>
        <w:t xml:space="preserve">Renesas RH850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Standards (Live): </w:t>
      </w:r>
      <w:r>
        <w:rPr>
          <w:rFonts w:ascii="Arial" w:cs="Arial" w:eastAsia="Arial" w:hAnsi="Arial"/>
          <w:sz w:val="22"/>
          <w:szCs w:val="22"/>
        </w:rPr>
        <w:t xml:space="preserve">MISRA C:2025, EN 50128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Standards (Q3 2026): </w:t>
      </w:r>
      <w:r>
        <w:rPr>
          <w:rFonts w:ascii="Arial" w:cs="Arial" w:eastAsia="Arial" w:hAnsi="Arial"/>
          <w:sz w:val="22"/>
          <w:szCs w:val="22"/>
        </w:rPr>
        <w:t xml:space="preserve">ISO 26262, IEC 61508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Standards (Planned): </w:t>
      </w:r>
      <w:r>
        <w:rPr>
          <w:rFonts w:ascii="Arial" w:cs="Arial" w:eastAsia="Arial" w:hAnsi="Arial"/>
          <w:sz w:val="22"/>
          <w:szCs w:val="22"/>
        </w:rPr>
        <w:t xml:space="preserve">DO-178C, IEC 62304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Agentic Workflows: </w:t>
      </w:r>
      <w:r>
        <w:rPr>
          <w:rFonts w:ascii="Arial" w:cs="Arial" w:eastAsia="Arial" w:hAnsi="Arial"/>
          <w:sz w:val="22"/>
          <w:szCs w:val="22"/>
        </w:rPr>
        <w:t xml:space="preserve">Firmware generation, documentation automation, compliance gap analysis, architecture planning, PCB bring-up firmware, Edge AI/TinyML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Trial: </w:t>
      </w:r>
      <w:r>
        <w:rPr>
          <w:rFonts w:ascii="Arial" w:cs="Arial" w:eastAsia="Arial" w:hAnsi="Arial"/>
          <w:sz w:val="22"/>
          <w:szCs w:val="22"/>
        </w:rPr>
        <w:t xml:space="preserve">₹0 — 7-day full access on actual codebase; no credit card; keep everything generated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 Plan: </w:t>
      </w:r>
      <w:r>
        <w:rPr>
          <w:rFonts w:ascii="Arial" w:cs="Arial" w:eastAsia="Arial" w:hAnsi="Arial"/>
          <w:sz w:val="22"/>
          <w:szCs w:val="22"/>
        </w:rPr>
        <w:t xml:space="preserve">₹8,000/month per engineer — full generation, all compliance standards, documentation automation, VS Code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Plan: </w:t>
      </w:r>
      <w:r>
        <w:rPr>
          <w:rFonts w:ascii="Arial" w:cs="Arial" w:eastAsia="Arial" w:hAnsi="Arial"/>
          <w:sz w:val="22"/>
          <w:szCs w:val="22"/>
        </w:rPr>
        <w:t xml:space="preserve">Custom — up to 10 engineers; adds compliance gap analysis, architecture planning, priority 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Plan: </w:t>
      </w:r>
      <w:r>
        <w:rPr>
          <w:rFonts w:ascii="Arial" w:cs="Arial" w:eastAsia="Arial" w:hAnsi="Arial"/>
          <w:sz w:val="22"/>
          <w:szCs w:val="22"/>
        </w:rPr>
        <w:t xml:space="preserve">Talk to Us — on-premise, custom standards, dedicated support engineer, SLA uptime guarantee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USD Pricing (GTM)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Starter: </w:t>
      </w:r>
      <w:r>
        <w:rPr>
          <w:rFonts w:ascii="Arial" w:cs="Arial" w:eastAsia="Arial" w:hAnsi="Arial"/>
          <w:sz w:val="22"/>
          <w:szCs w:val="22"/>
        </w:rPr>
        <w:t xml:space="preserve">$800/engineer/year — MISRA C/C++ aware code generation, STM32 HAL context, IDE plugin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Professional: </w:t>
      </w:r>
      <w:r>
        <w:rPr>
          <w:rFonts w:ascii="Arial" w:cs="Arial" w:eastAsia="Arial" w:hAnsi="Arial"/>
          <w:sz w:val="22"/>
          <w:szCs w:val="22"/>
        </w:rPr>
        <w:t xml:space="preserve">$1,500/engineer/year — adds RTOS-aware suggestions, documentation co-generation, ISO 26262 evidence templates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Enterprise: </w:t>
      </w:r>
      <w:r>
        <w:rPr>
          <w:rFonts w:ascii="Arial" w:cs="Arial" w:eastAsia="Arial" w:hAnsi="Arial"/>
          <w:sz w:val="22"/>
          <w:szCs w:val="22"/>
        </w:rPr>
        <w:t xml:space="preserve">$2,500/engineer/year — adds on-prem deployment, custom standard profiles, compliance audit support, SLA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Live Deployment — GVS-DECK (March 2026)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MCU: </w:t>
      </w:r>
      <w:r>
        <w:rPr>
          <w:rFonts w:ascii="Arial" w:cs="Arial" w:eastAsia="Arial" w:hAnsi="Arial"/>
          <w:sz w:val="22"/>
          <w:szCs w:val="22"/>
        </w:rPr>
        <w:t xml:space="preserve">STM32H743ZI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Flash: </w:t>
      </w:r>
      <w:r>
        <w:rPr>
          <w:rFonts w:ascii="Arial" w:cs="Arial" w:eastAsia="Arial" w:hAnsi="Arial"/>
          <w:sz w:val="22"/>
          <w:szCs w:val="22"/>
        </w:rPr>
        <w:t xml:space="preserve">W25Q02 (QSPI)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ADC: </w:t>
      </w:r>
      <w:r>
        <w:rPr>
          <w:rFonts w:ascii="Arial" w:cs="Arial" w:eastAsia="Arial" w:hAnsi="Arial"/>
          <w:sz w:val="22"/>
          <w:szCs w:val="22"/>
        </w:rPr>
        <w:t xml:space="preserve">MCP3564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Compliance: </w:t>
      </w:r>
      <w:r>
        <w:rPr>
          <w:rFonts w:ascii="Arial" w:cs="Arial" w:eastAsia="Arial" w:hAnsi="Arial"/>
          <w:sz w:val="22"/>
          <w:szCs w:val="22"/>
        </w:rPr>
        <w:t xml:space="preserve">MISRA C:2025 + EN 50128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Protocols: </w:t>
      </w:r>
      <w:r>
        <w:rPr>
          <w:rFonts w:ascii="Arial" w:cs="Arial" w:eastAsia="Arial" w:hAnsi="Arial"/>
          <w:sz w:val="22"/>
          <w:szCs w:val="22"/>
        </w:rPr>
        <w:t xml:space="preserve">KAVACH RS485, QUADSPI, SPI DMA, UART DMA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Zero MISRA violations on first pass; architectural style matching enforced automatically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2026-05-18T18:08:13.802Z</dcterms:created>
  <dcterms:modified xsi:type="dcterms:W3CDTF">2026-05-18T18:08:13.802Z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