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40"/>
      </w:pPr>
      <w:r>
        <w:rPr>
          <w:color w:val="2F5496"/>
          <w:sz w:val="32"/>
          <w:szCs w:val="32"/>
        </w:rPr>
        <w:t xml:space="preserve">Change Management Plan</w:t>
      </w:r>
    </w:p>
    <w:p>
      <w:pPr>
        <w:spacing w:after="140" w:before="360"/>
      </w:pPr>
      <w:r>
        <w:rPr>
          <w:color w:val="2F5496"/>
          <w:sz w:val="26"/>
          <w:szCs w:val="2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r>
        <w:br w:type="page"/>
      </w:r>
    </w:p>
    <w:p>
      <w:pPr>
        <w:pStyle w:val="Heading1"/>
        <w:numPr>
          <w:ilvl w:val="0"/>
          <w:numId w:val="2"/>
        </w:numPr>
        <w:spacing w:after="140" w:before="240"/>
      </w:pPr>
      <w:r>
        <w:t xml:space="preserve">S</w:t>
      </w:r>
      <w:bookmarkStart w:name="sec_1" w:id="1"/>
      <w:r>
        <w:rPr>
          <w:b w:val="false"/>
          <w:bCs w:val="false"/>
          <w:i w:val="false"/>
          <w:iCs w:val="false"/>
        </w:rPr>
        <w:t xml:space="preserve">cope and Approach</w:t>
      </w:r>
      <w:bookmarkEnd w:id="1"/>
    </w:p>
    <w:p>
      <w:pPr>
        <w:pStyle w:val="Heading2"/>
        <w:numPr>
          <w:ilvl w:val="1"/>
          <w:numId w:val="2"/>
        </w:numPr>
        <w:spacing w:after="140" w:before="260"/>
      </w:pPr>
      <w:r>
        <w:t xml:space="preserve">P</w:t>
      </w:r>
      <w:bookmarkStart w:name="sec_1_1" w:id="1"/>
      <w:r>
        <w:rPr>
          <w:b w:val="false"/>
          <w:bCs w:val="false"/>
          <w:i w:val="false"/>
          <w:iCs w:val="false"/>
        </w:rPr>
        <w:t xml:space="preserve">urpose and scope</w:t>
      </w:r>
      <w:bookmarkEnd w:id="1"/>
    </w:p>
    <w:p>
      <w:pPr>
        <w:spacing w:after="140" w:line="276"/>
      </w:pPr>
      <w:r>
        <w:rPr>
          <w:b w:val="false"/>
          <w:bCs w:val="false"/>
          <w:i w:val="false"/>
          <w:iCs w:val="false"/>
        </w:rPr>
        <w:t xml:space="preserve">This plan sets out how the operational and process change brought by the Information System is managed, from the Effective Date to handover, and how changes to the System itself are controlled through the warranty period. It is the change management part of the plan evaluated under Category 3 of Section III. Together with the Cybersecurity Risk Management Plan, it forms the Cybersecurity Risk and Change Management Plan referred to in the System Architecture.</w:t>
      </w:r>
    </w:p>
    <w:p>
      <w:pPr>
        <w:spacing w:after="140" w:line="276"/>
      </w:pPr>
      <w:r>
        <w:rPr>
          <w:b w:val="false"/>
          <w:bCs w:val="false"/>
          <w:i w:val="false"/>
          <w:iCs w:val="false"/>
        </w:rPr>
        <w:t xml:space="preserve">Change has three meanings in this Contract, and the plan keeps them apart: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42"/>
        <w:gridCol w:w="2978"/>
      </w:tblGrid>
      <w:tr>
        <w:trPr>
          <w:tblHeader/>
        </w:trPr>
        <w:tc>
          <w:tcPr>
            <w:tcW w:type="dxa" w:w="6042"/>
            <w:shd w:fill="EDEDED" w:val="clear"/>
            <w:tcMar>
              <w:top w:type="dxa" w:w="60"/>
              <w:left w:type="dxa" w:w="100"/>
              <w:bottom w:type="dxa" w:w="60"/>
              <w:right w:type="dxa" w:w="100"/>
            </w:tcMar>
          </w:tcPr>
          <w:p>
            <w:pPr>
              <w:spacing w:after="0" w:before="0"/>
            </w:pPr>
            <w:r>
              <w:rPr>
                <w:b/>
                <w:bCs/>
                <w:i w:val="false"/>
                <w:iCs w:val="false"/>
              </w:rPr>
              <w:t xml:space="preserve">Meaning</w:t>
            </w:r>
          </w:p>
        </w:tc>
        <w:tc>
          <w:tcPr>
            <w:tcW w:type="dxa" w:w="2978"/>
            <w:shd w:fill="EDEDED" w:val="clear"/>
            <w:tcMar>
              <w:top w:type="dxa" w:w="60"/>
              <w:left w:type="dxa" w:w="100"/>
              <w:bottom w:type="dxa" w:w="60"/>
              <w:right w:type="dxa" w:w="100"/>
            </w:tcMar>
          </w:tcPr>
          <w:p>
            <w:pPr>
              <w:spacing w:after="0" w:before="0"/>
            </w:pPr>
            <w:r>
              <w:rPr>
                <w:b/>
                <w:bCs/>
                <w:i w:val="false"/>
                <w:iCs w:val="false"/>
              </w:rPr>
              <w:t xml:space="preserve">Where it is managed</w:t>
            </w:r>
          </w:p>
        </w:tc>
      </w:tr>
      <w:tr>
        <w:tc>
          <w:tcPr>
            <w:tcW w:type="dxa" w:w="6042"/>
            <w:tcMar>
              <w:top w:type="dxa" w:w="60"/>
              <w:left w:type="dxa" w:w="100"/>
              <w:bottom w:type="dxa" w:w="60"/>
              <w:right w:type="dxa" w:w="100"/>
            </w:tcMar>
          </w:tcPr>
          <w:p>
            <w:pPr>
              <w:spacing w:after="0" w:before="0"/>
            </w:pPr>
            <w:r>
              <w:rPr>
                <w:b w:val="false"/>
                <w:bCs w:val="false"/>
                <w:i w:val="false"/>
                <w:iCs w:val="false"/>
              </w:rPr>
              <w:t xml:space="preserve">Operational and process change: NRB's staff and processes moving to the new facility</w:t>
            </w:r>
          </w:p>
        </w:tc>
        <w:tc>
          <w:tcPr>
            <w:tcW w:type="dxa" w:w="2978"/>
            <w:tcMar>
              <w:top w:type="dxa" w:w="60"/>
              <w:left w:type="dxa" w:w="100"/>
              <w:bottom w:type="dxa" w:w="60"/>
              <w:right w:type="dxa" w:w="100"/>
            </w:tcMar>
          </w:tcPr>
          <w:p>
            <w:pPr>
              <w:spacing w:after="0" w:before="0"/>
            </w:pPr>
            <w:r>
              <w:rPr>
                <w:b w:val="false"/>
                <w:bCs w:val="false"/>
                <w:i w:val="false"/>
                <w:iCs w:val="false"/>
              </w:rPr>
              <w:t xml:space="preserve">Sections 2, 3, 4 and 6</w:t>
            </w:r>
          </w:p>
        </w:tc>
      </w:tr>
      <w:tr>
        <w:tc>
          <w:tcPr>
            <w:tcW w:type="dxa" w:w="6042"/>
            <w:tcMar>
              <w:top w:type="dxa" w:w="60"/>
              <w:left w:type="dxa" w:w="100"/>
              <w:bottom w:type="dxa" w:w="60"/>
              <w:right w:type="dxa" w:w="100"/>
            </w:tcMar>
          </w:tcPr>
          <w:p>
            <w:pPr>
              <w:spacing w:after="0" w:before="0"/>
            </w:pPr>
            <w:r>
              <w:rPr>
                <w:b w:val="false"/>
                <w:bCs w:val="false"/>
                <w:i w:val="false"/>
                <w:iCs w:val="false"/>
              </w:rPr>
              <w:t xml:space="preserve">Technical change control: changes to the hardware, software, middleware and security systems, under Section VII clause 1.4.1.2</w:t>
            </w:r>
          </w:p>
        </w:tc>
        <w:tc>
          <w:tcPr>
            <w:tcW w:type="dxa" w:w="2978"/>
            <w:tcMar>
              <w:top w:type="dxa" w:w="60"/>
              <w:left w:type="dxa" w:w="100"/>
              <w:bottom w:type="dxa" w:w="60"/>
              <w:right w:type="dxa" w:w="100"/>
            </w:tcMar>
          </w:tcPr>
          <w:p>
            <w:pPr>
              <w:spacing w:after="0" w:before="0"/>
            </w:pPr>
            <w:r>
              <w:rPr>
                <w:b w:val="false"/>
                <w:bCs w:val="false"/>
                <w:i w:val="false"/>
                <w:iCs w:val="false"/>
              </w:rPr>
              <w:t xml:space="preserve">Section 5</w:t>
            </w:r>
            <w:r>
              <w:rPr>
                <w:b w:val="false"/>
                <w:bCs w:val="false"/>
                <w:i w:val="false"/>
                <w:iCs w:val="false"/>
              </w:rPr>
              <w:t xml:space="preserve">, using the capabilities in System Architecture Section 12.1</w:t>
            </w:r>
          </w:p>
        </w:tc>
      </w:tr>
      <w:tr>
        <w:tc>
          <w:tcPr>
            <w:tcW w:type="dxa" w:w="6042"/>
            <w:tcMar>
              <w:top w:type="dxa" w:w="60"/>
              <w:left w:type="dxa" w:w="100"/>
              <w:bottom w:type="dxa" w:w="60"/>
              <w:right w:type="dxa" w:w="100"/>
            </w:tcMar>
          </w:tcPr>
          <w:p>
            <w:pPr>
              <w:spacing w:after="0" w:before="0"/>
            </w:pPr>
            <w:r>
              <w:rPr>
                <w:b w:val="false"/>
                <w:bCs w:val="false"/>
                <w:i w:val="false"/>
                <w:iCs w:val="false"/>
              </w:rPr>
              <w:t xml:space="preserve">Contractual Change: a change to scope, price or time under GCC 39</w:t>
            </w:r>
          </w:p>
        </w:tc>
        <w:tc>
          <w:tcPr>
            <w:tcW w:type="dxa" w:w="2978"/>
            <w:tcMar>
              <w:top w:type="dxa" w:w="60"/>
              <w:left w:type="dxa" w:w="100"/>
              <w:bottom w:type="dxa" w:w="60"/>
              <w:right w:type="dxa" w:w="100"/>
            </w:tcMar>
          </w:tcPr>
          <w:p>
            <w:pPr>
              <w:spacing w:after="0" w:before="0"/>
            </w:pPr>
            <w:r>
              <w:rPr>
                <w:b w:val="false"/>
                <w:bCs w:val="false"/>
                <w:i w:val="false"/>
                <w:iCs w:val="false"/>
              </w:rPr>
              <w:t xml:space="preserve">Routed under </w:t>
            </w:r>
            <w:r>
              <w:rPr>
                <w:b w:val="false"/>
                <w:bCs w:val="false"/>
                <w:i w:val="false"/>
                <w:iCs w:val="false"/>
              </w:rPr>
              <w:t xml:space="preserve">Section </w:t>
            </w:r>
            <w:fldSimple w:instr="REF sec_5_1 \w \h">
              <w:r>
                <w:t xml:space="preserve">5.1</w:t>
              </w:r>
            </w:fldSimple>
            <w:r>
              <w:rPr>
                <w:b w:val="false"/>
                <w:bCs w:val="false"/>
                <w:i w:val="false"/>
                <w:iCs w:val="false"/>
              </w:rPr>
              <w:t xml:space="preserve"> only</w:t>
            </w:r>
          </w:p>
        </w:tc>
      </w:tr>
    </w:tbl>
    <w:p>
      <w:pPr>
        <w:spacing w:after="1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74"/>
        <w:gridCol w:w="4643"/>
        <w:gridCol w:w="2303"/>
      </w:tblGrid>
      <w:tr>
        <w:trPr>
          <w:tblHeader/>
        </w:trPr>
        <w:tc>
          <w:tcPr>
            <w:tcW w:type="dxa" w:w="2074"/>
            <w:shd w:fill="EDEDED" w:val="clear"/>
            <w:tcMar>
              <w:top w:type="dxa" w:w="60"/>
              <w:left w:type="dxa" w:w="100"/>
              <w:bottom w:type="dxa" w:w="60"/>
              <w:right w:type="dxa" w:w="100"/>
            </w:tcMar>
          </w:tcPr>
          <w:p>
            <w:pPr>
              <w:spacing w:after="0" w:before="0"/>
            </w:pPr>
            <w:r>
              <w:rPr>
                <w:b/>
                <w:bCs/>
                <w:i w:val="false"/>
                <w:iCs w:val="false"/>
              </w:rPr>
              <w:t xml:space="preserve">Category 3 item</w:t>
            </w:r>
          </w:p>
        </w:tc>
        <w:tc>
          <w:tcPr>
            <w:tcW w:type="dxa" w:w="4643"/>
            <w:shd w:fill="EDEDED" w:val="clear"/>
            <w:tcMar>
              <w:top w:type="dxa" w:w="60"/>
              <w:left w:type="dxa" w:w="100"/>
              <w:bottom w:type="dxa" w:w="60"/>
              <w:right w:type="dxa" w:w="100"/>
            </w:tcMar>
          </w:tcPr>
          <w:p>
            <w:pPr>
              <w:spacing w:after="0" w:before="0"/>
            </w:pPr>
            <w:r>
              <w:rPr>
                <w:b/>
                <w:bCs/>
                <w:i w:val="false"/>
                <w:iCs w:val="false"/>
              </w:rPr>
              <w:t xml:space="preserve">Requested</w:t>
            </w:r>
          </w:p>
        </w:tc>
        <w:tc>
          <w:tcPr>
            <w:tcW w:type="dxa" w:w="2303"/>
            <w:shd w:fill="EDEDED" w:val="clear"/>
            <w:tcMar>
              <w:top w:type="dxa" w:w="60"/>
              <w:left w:type="dxa" w:w="100"/>
              <w:bottom w:type="dxa" w:w="60"/>
              <w:right w:type="dxa" w:w="100"/>
            </w:tcMar>
          </w:tcPr>
          <w:p>
            <w:pPr>
              <w:spacing w:after="0" w:before="0"/>
            </w:pPr>
            <w:r>
              <w:rPr>
                <w:b/>
                <w:bCs/>
                <w:i w:val="false"/>
                <w:iCs w:val="false"/>
              </w:rPr>
              <w:t xml:space="preserve">Where answered</w:t>
            </w:r>
          </w:p>
        </w:tc>
      </w:tr>
      <w:tr>
        <w:tc>
          <w:tcPr>
            <w:tcW w:type="dxa" w:w="2074"/>
            <w:tcMar>
              <w:top w:type="dxa" w:w="60"/>
              <w:left w:type="dxa" w:w="100"/>
              <w:bottom w:type="dxa" w:w="60"/>
              <w:right w:type="dxa" w:w="100"/>
            </w:tcMar>
          </w:tcPr>
          <w:p>
            <w:pPr>
              <w:spacing w:after="0" w:before="0"/>
            </w:pPr>
            <w:r>
              <w:rPr>
                <w:b w:val="false"/>
                <w:bCs w:val="false"/>
                <w:i w:val="false"/>
                <w:iCs w:val="false"/>
              </w:rPr>
              <w:t xml:space="preserve">Purpose, Table 1</w:t>
            </w:r>
          </w:p>
        </w:tc>
        <w:tc>
          <w:tcPr>
            <w:tcW w:type="dxa" w:w="4643"/>
            <w:tcMar>
              <w:top w:type="dxa" w:w="60"/>
              <w:left w:type="dxa" w:w="100"/>
              <w:bottom w:type="dxa" w:w="60"/>
              <w:right w:type="dxa" w:w="100"/>
            </w:tcMar>
          </w:tcPr>
          <w:p>
            <w:pPr>
              <w:spacing w:after="0" w:before="0"/>
            </w:pPr>
            <w:r>
              <w:rPr>
                <w:b w:val="false"/>
                <w:bCs w:val="false"/>
                <w:i w:val="false"/>
                <w:iCs w:val="false"/>
              </w:rPr>
              <w:t xml:space="preserve">Sequenced activities, resources and transition steps</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Sections </w:t>
            </w:r>
            <w:fldSimple w:instr="REF sec_4_1 \w \h">
              <w:r>
                <w:t xml:space="preserve">4.1</w:t>
              </w:r>
            </w:fldSimple>
            <w:r>
              <w:rPr>
                <w:b w:val="false"/>
                <w:bCs w:val="false"/>
                <w:i w:val="false"/>
                <w:iCs w:val="false"/>
              </w:rPr>
              <w:t xml:space="preserve"> and </w:t>
            </w:r>
            <w:fldSimple w:instr="REF sec_6_1 \w \h">
              <w:r>
                <w:t xml:space="preserve">6.1</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
            </w:r>
          </w:p>
        </w:tc>
        <w:tc>
          <w:tcPr>
            <w:tcW w:type="dxa" w:w="4643"/>
            <w:tcMar>
              <w:top w:type="dxa" w:w="60"/>
              <w:left w:type="dxa" w:w="100"/>
              <w:bottom w:type="dxa" w:w="60"/>
              <w:right w:type="dxa" w:w="100"/>
            </w:tcMar>
          </w:tcPr>
          <w:p>
            <w:pPr>
              <w:spacing w:after="0" w:before="0"/>
            </w:pPr>
            <w:r>
              <w:rPr>
                <w:b w:val="false"/>
                <w:bCs w:val="false"/>
                <w:i w:val="false"/>
                <w:iCs w:val="false"/>
              </w:rPr>
              <w:t xml:space="preserve">Feasibility</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Sections </w:t>
            </w:r>
            <w:fldSimple w:instr="REF sec_4_2 \w \h">
              <w:r>
                <w:t xml:space="preserve">4.2</w:t>
              </w:r>
            </w:fldSimple>
            <w:r>
              <w:rPr>
                <w:b w:val="false"/>
                <w:bCs w:val="false"/>
                <w:i w:val="false"/>
                <w:iCs w:val="false"/>
              </w:rPr>
              <w:t xml:space="preserve"> and </w:t>
            </w:r>
            <w:fldSimple w:instr="REF sec_4_3 \w \h">
              <w:r>
                <w:t xml:space="preserve">4.3</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
            </w:r>
          </w:p>
        </w:tc>
        <w:tc>
          <w:tcPr>
            <w:tcW w:type="dxa" w:w="4643"/>
            <w:tcMar>
              <w:top w:type="dxa" w:w="60"/>
              <w:left w:type="dxa" w:w="100"/>
              <w:bottom w:type="dxa" w:w="60"/>
              <w:right w:type="dxa" w:w="100"/>
            </w:tcMar>
          </w:tcPr>
          <w:p>
            <w:pPr>
              <w:spacing w:after="0" w:before="0"/>
            </w:pPr>
            <w:r>
              <w:rPr>
                <w:b w:val="false"/>
                <w:bCs w:val="false"/>
                <w:i w:val="false"/>
                <w:iCs w:val="false"/>
              </w:rPr>
              <w:t xml:space="preserve">Alignment of operational and process change management</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Sections </w:t>
            </w:r>
            <w:fldSimple w:instr="REF sec_2_1 \w \h">
              <w:r>
                <w:t xml:space="preserve">2.1</w:t>
              </w:r>
            </w:fldSimple>
            <w:r>
              <w:rPr>
                <w:b w:val="false"/>
                <w:bCs w:val="false"/>
                <w:i w:val="false"/>
                <w:iCs w:val="false"/>
              </w:rPr>
              <w:t xml:space="preserve"> and </w:t>
            </w:r>
            <w:fldSimple w:instr="REF sec_3_1 \w \h">
              <w:r>
                <w:t xml:space="preserve">3.1</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1. Alignment with international frameworks</w:t>
            </w:r>
          </w:p>
        </w:tc>
        <w:tc>
          <w:tcPr>
            <w:tcW w:type="dxa" w:w="4643"/>
            <w:tcMar>
              <w:top w:type="dxa" w:w="60"/>
              <w:left w:type="dxa" w:w="100"/>
              <w:bottom w:type="dxa" w:w="60"/>
              <w:right w:type="dxa" w:w="100"/>
            </w:tcMar>
          </w:tcPr>
          <w:p>
            <w:pPr>
              <w:spacing w:after="0" w:before="0"/>
            </w:pPr>
            <w:r>
              <w:rPr>
                <w:b w:val="false"/>
                <w:bCs w:val="false"/>
                <w:i w:val="false"/>
                <w:iCs w:val="false"/>
              </w:rPr>
              <w:t xml:space="preserve">Change Management Plan mapped to NIST CSF</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Sections </w:t>
            </w:r>
            <w:fldSimple w:instr="REF sec_1_2 \w \h">
              <w:r>
                <w:t xml:space="preserve">1.2</w:t>
              </w:r>
            </w:fldSimple>
            <w:r>
              <w:rPr>
                <w:b w:val="false"/>
                <w:bCs w:val="false"/>
                <w:i w:val="false"/>
                <w:iCs w:val="false"/>
              </w:rPr>
              <w:t xml:space="preserve"> and </w:t>
            </w:r>
            <w:fldSimple w:instr="REF sec_1_3 \w \h">
              <w:r>
                <w:t xml:space="preserve">1.3</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
            </w:r>
          </w:p>
        </w:tc>
        <w:tc>
          <w:tcPr>
            <w:tcW w:type="dxa" w:w="4643"/>
            <w:tcMar>
              <w:top w:type="dxa" w:w="60"/>
              <w:left w:type="dxa" w:w="100"/>
              <w:bottom w:type="dxa" w:w="60"/>
              <w:right w:type="dxa" w:w="100"/>
            </w:tcMar>
          </w:tcPr>
          <w:p>
            <w:pPr>
              <w:spacing w:after="0" w:before="0"/>
            </w:pPr>
            <w:r>
              <w:rPr>
                <w:b w:val="false"/>
                <w:bCs w:val="false"/>
                <w:i w:val="false"/>
                <w:iCs w:val="false"/>
              </w:rPr>
              <w:t xml:space="preserve">Framework Compliance Matrix</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 </w:t>
            </w:r>
            <w:fldSimple w:instr="REF sec_1_3 \w \h">
              <w:r>
                <w:t xml:space="preserve">1.3</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
            </w:r>
          </w:p>
        </w:tc>
        <w:tc>
          <w:tcPr>
            <w:tcW w:type="dxa" w:w="4643"/>
            <w:tcMar>
              <w:top w:type="dxa" w:w="60"/>
              <w:left w:type="dxa" w:w="100"/>
              <w:bottom w:type="dxa" w:w="60"/>
              <w:right w:type="dxa" w:w="100"/>
            </w:tcMar>
          </w:tcPr>
          <w:p>
            <w:pPr>
              <w:spacing w:after="0" w:before="0"/>
            </w:pPr>
            <w:r>
              <w:rPr>
                <w:b w:val="false"/>
                <w:bCs w:val="false"/>
                <w:i w:val="false"/>
                <w:iCs w:val="false"/>
              </w:rPr>
              <w:t xml:space="preserve">Evidence of past implementation</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 </w:t>
            </w:r>
            <w:fldSimple w:instr="REF sec_7_3 \w \h">
              <w:r>
                <w:t xml:space="preserve">7.3</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2. Risk identification, mitigation and response</w:t>
            </w:r>
          </w:p>
        </w:tc>
        <w:tc>
          <w:tcPr>
            <w:tcW w:type="dxa" w:w="4643"/>
            <w:tcMar>
              <w:top w:type="dxa" w:w="60"/>
              <w:left w:type="dxa" w:w="100"/>
              <w:bottom w:type="dxa" w:w="60"/>
              <w:right w:type="dxa" w:w="100"/>
            </w:tcMar>
          </w:tcPr>
          <w:p>
            <w:pPr>
              <w:spacing w:after="0" w:before="0"/>
            </w:pPr>
            <w:r>
              <w:rPr>
                <w:b w:val="false"/>
                <w:bCs w:val="false"/>
                <w:i w:val="false"/>
                <w:iCs w:val="false"/>
              </w:rPr>
              <w:t xml:space="preserve">Change and transition risks</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 </w:t>
            </w:r>
            <w:fldSimple w:instr="REF sec_4_3 \w \h">
              <w:r>
                <w:t xml:space="preserve">4.3</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
            </w:r>
          </w:p>
        </w:tc>
        <w:tc>
          <w:tcPr>
            <w:tcW w:type="dxa" w:w="4643"/>
            <w:tcMar>
              <w:top w:type="dxa" w:w="60"/>
              <w:left w:type="dxa" w:w="100"/>
              <w:bottom w:type="dxa" w:w="60"/>
              <w:right w:type="dxa" w:w="100"/>
            </w:tcMar>
          </w:tcPr>
          <w:p>
            <w:pPr>
              <w:spacing w:after="0" w:before="0"/>
            </w:pPr>
            <w:r>
              <w:rPr>
                <w:b w:val="false"/>
                <w:bCs w:val="false"/>
                <w:i w:val="false"/>
                <w:iCs w:val="false"/>
              </w:rPr>
              <w:t xml:space="preserve">Compliance and Governance Statement</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Sections </w:t>
            </w:r>
            <w:fldSimple w:instr="REF sec_3_1 \w \h">
              <w:r>
                <w:t xml:space="preserve">3.1</w:t>
              </w:r>
            </w:fldSimple>
            <w:r>
              <w:rPr>
                <w:b w:val="false"/>
                <w:bCs w:val="false"/>
                <w:i w:val="false"/>
                <w:iCs w:val="false"/>
              </w:rPr>
              <w:t xml:space="preserve"> and </w:t>
            </w:r>
            <w:fldSimple w:instr="REF sec_7_1 \w \h">
              <w:r>
                <w:t xml:space="preserve">7.1</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3. Resources, skills, duration and capacity building</w:t>
            </w:r>
          </w:p>
        </w:tc>
        <w:tc>
          <w:tcPr>
            <w:tcW w:type="dxa" w:w="4643"/>
            <w:tcMar>
              <w:top w:type="dxa" w:w="60"/>
              <w:left w:type="dxa" w:w="100"/>
              <w:bottom w:type="dxa" w:w="60"/>
              <w:right w:type="dxa" w:w="100"/>
            </w:tcMar>
          </w:tcPr>
          <w:p>
            <w:pPr>
              <w:spacing w:after="0" w:before="0"/>
            </w:pPr>
            <w:r>
              <w:rPr>
                <w:b w:val="false"/>
                <w:bCs w:val="false"/>
                <w:i w:val="false"/>
                <w:iCs w:val="false"/>
              </w:rPr>
              <w:t xml:space="preserve">Resource and Skill Matrix</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 </w:t>
            </w:r>
            <w:fldSimple w:instr="REF sec_6_1 \w \h">
              <w:r>
                <w:t xml:space="preserve">6.1</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
            </w:r>
          </w:p>
        </w:tc>
        <w:tc>
          <w:tcPr>
            <w:tcW w:type="dxa" w:w="4643"/>
            <w:tcMar>
              <w:top w:type="dxa" w:w="60"/>
              <w:left w:type="dxa" w:w="100"/>
              <w:bottom w:type="dxa" w:w="60"/>
              <w:right w:type="dxa" w:w="100"/>
            </w:tcMar>
          </w:tcPr>
          <w:p>
            <w:pPr>
              <w:spacing w:after="0" w:before="0"/>
            </w:pPr>
            <w:r>
              <w:rPr>
                <w:b w:val="false"/>
                <w:bCs w:val="false"/>
                <w:i w:val="false"/>
                <w:iCs w:val="false"/>
              </w:rPr>
              <w:t xml:space="preserve">Capacity-Building and Knowledge Transfer Plan</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 </w:t>
            </w:r>
            <w:fldSimple w:instr="REF sec_6_2 \w \h">
              <w:r>
                <w:t xml:space="preserve">6.2</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
            </w:r>
          </w:p>
        </w:tc>
        <w:tc>
          <w:tcPr>
            <w:tcW w:type="dxa" w:w="4643"/>
            <w:tcMar>
              <w:top w:type="dxa" w:w="60"/>
              <w:left w:type="dxa" w:w="100"/>
              <w:bottom w:type="dxa" w:w="60"/>
              <w:right w:type="dxa" w:w="100"/>
            </w:tcMar>
          </w:tcPr>
          <w:p>
            <w:pPr>
              <w:spacing w:after="0" w:before="0"/>
            </w:pPr>
            <w:r>
              <w:rPr>
                <w:b w:val="false"/>
                <w:bCs w:val="false"/>
                <w:i w:val="false"/>
                <w:iCs w:val="false"/>
              </w:rPr>
              <w:t xml:space="preserve">Timeline</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 </w:t>
            </w:r>
            <w:fldSimple w:instr="REF sec_4_1 \w \h">
              <w:r>
                <w:t xml:space="preserve">4.1</w:t>
              </w:r>
            </w:fldSimple>
          </w:p>
        </w:tc>
      </w:tr>
      <w:tr>
        <w:tc>
          <w:tcPr>
            <w:tcW w:type="dxa" w:w="2074"/>
            <w:tcMar>
              <w:top w:type="dxa" w:w="60"/>
              <w:left w:type="dxa" w:w="100"/>
              <w:bottom w:type="dxa" w:w="60"/>
              <w:right w:type="dxa" w:w="100"/>
            </w:tcMar>
          </w:tcPr>
          <w:p>
            <w:pPr>
              <w:spacing w:after="0" w:before="0"/>
            </w:pPr>
            <w:r>
              <w:rPr>
                <w:b w:val="false"/>
                <w:bCs w:val="false"/>
                <w:i w:val="false"/>
                <w:iCs w:val="false"/>
              </w:rPr>
              <w:t xml:space="preserve"/>
            </w:r>
          </w:p>
        </w:tc>
        <w:tc>
          <w:tcPr>
            <w:tcW w:type="dxa" w:w="4643"/>
            <w:tcMar>
              <w:top w:type="dxa" w:w="60"/>
              <w:left w:type="dxa" w:w="100"/>
              <w:bottom w:type="dxa" w:w="60"/>
              <w:right w:type="dxa" w:w="100"/>
            </w:tcMar>
          </w:tcPr>
          <w:p>
            <w:pPr>
              <w:spacing w:after="0" w:before="0"/>
            </w:pPr>
            <w:r>
              <w:rPr>
                <w:b w:val="false"/>
                <w:bCs w:val="false"/>
                <w:i w:val="false"/>
                <w:iCs w:val="false"/>
              </w:rPr>
              <w:t xml:space="preserve">Compliance Statement</w:t>
            </w:r>
          </w:p>
        </w:tc>
        <w:tc>
          <w:tcPr>
            <w:tcW w:type="dxa" w:w="2303"/>
            <w:tcMar>
              <w:top w:type="dxa" w:w="60"/>
              <w:left w:type="dxa" w:w="100"/>
              <w:bottom w:type="dxa" w:w="60"/>
              <w:right w:type="dxa" w:w="100"/>
            </w:tcMar>
          </w:tcPr>
          <w:p>
            <w:pPr>
              <w:spacing w:after="0" w:before="0"/>
            </w:pPr>
            <w:r>
              <w:rPr>
                <w:b w:val="false"/>
                <w:bCs w:val="false"/>
                <w:i w:val="false"/>
                <w:iCs w:val="false"/>
              </w:rPr>
              <w:t xml:space="preserve">Section </w:t>
            </w:r>
            <w:fldSimple w:instr="REF sec_7_2 \w \h">
              <w:r>
                <w:t xml:space="preserve">7.2</w:t>
              </w:r>
            </w:fldSimple>
          </w:p>
        </w:tc>
      </w:tr>
    </w:tbl>
    <w:p>
      <w:pPr>
        <w:spacing w:after="140"/>
      </w:pPr>
    </w:p>
    <w:p>
      <w:pPr>
        <w:spacing w:after="140" w:line="276"/>
      </w:pPr>
      <w:r>
        <w:rPr>
          <w:b w:val="false"/>
          <w:bCs w:val="false"/>
          <w:i w:val="false"/>
          <w:iCs w:val="false"/>
        </w:rPr>
        <w:t xml:space="preserve">The cybersecurity items of Category 3 are answered in the Cybersecurity Risk Management Plan, as listed in Cybersecurity Risk Management Plan Section 1.1. The process designs, the transition mechanics and the training are set out in the Preliminary Project Plan Sections 2 and 3, and this plan refers to them rather than repeating them.</w:t>
      </w:r>
    </w:p>
    <w:p>
      <w:pPr>
        <w:pStyle w:val="Heading2"/>
        <w:numPr>
          <w:ilvl w:val="1"/>
          <w:numId w:val="2"/>
        </w:numPr>
        <w:spacing w:after="140" w:before="260"/>
      </w:pPr>
      <w:r>
        <w:t xml:space="preserve">F</w:t>
      </w:r>
      <w:bookmarkStart w:name="sec_1_2" w:id="1"/>
      <w:r>
        <w:rPr>
          <w:b w:val="false"/>
          <w:bCs w:val="false"/>
          <w:i w:val="false"/>
          <w:iCs w:val="false"/>
        </w:rPr>
        <w:t xml:space="preserve">rameworks and method</w:t>
      </w:r>
      <w:bookmarkEnd w:id="1"/>
    </w:p>
    <w:p>
      <w:pPr>
        <w:spacing w:after="140" w:line="276"/>
      </w:pPr>
      <w:r>
        <w:rPr>
          <w:b/>
          <w:bCs/>
          <w:i w:val="false"/>
          <w:iCs w:val="false"/>
        </w:rPr>
        <w:t xml:space="preserve">Prosci ADKAR</w:t>
      </w:r>
      <w:r>
        <w:rPr>
          <w:b w:val="false"/>
          <w:bCs w:val="false"/>
          <w:i w:val="false"/>
          <w:iCs w:val="false"/>
        </w:rPr>
        <w:t xml:space="preserve"> structures the people side of the change: each person affected moves through awareness, desire, knowledge, ability and reinforcement, and each stage is reached through an activity already in the schedule.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70"/>
        <w:gridCol w:w="5148"/>
        <w:gridCol w:w="2202"/>
      </w:tblGrid>
      <w:tr>
        <w:trPr>
          <w:tblHeader/>
        </w:trPr>
        <w:tc>
          <w:tcPr>
            <w:tcW w:type="dxa" w:w="1670"/>
            <w:shd w:fill="EDEDED" w:val="clear"/>
            <w:tcMar>
              <w:top w:type="dxa" w:w="60"/>
              <w:left w:type="dxa" w:w="100"/>
              <w:bottom w:type="dxa" w:w="60"/>
              <w:right w:type="dxa" w:w="100"/>
            </w:tcMar>
          </w:tcPr>
          <w:p>
            <w:pPr>
              <w:spacing w:after="0" w:before="0"/>
            </w:pPr>
            <w:r>
              <w:rPr>
                <w:b/>
                <w:bCs/>
                <w:i w:val="false"/>
                <w:iCs w:val="false"/>
              </w:rPr>
              <w:t xml:space="preserve">Stage</w:t>
            </w:r>
          </w:p>
        </w:tc>
        <w:tc>
          <w:tcPr>
            <w:tcW w:type="dxa" w:w="5148"/>
            <w:shd w:fill="EDEDED" w:val="clear"/>
            <w:tcMar>
              <w:top w:type="dxa" w:w="60"/>
              <w:left w:type="dxa" w:w="100"/>
              <w:bottom w:type="dxa" w:w="60"/>
              <w:right w:type="dxa" w:w="100"/>
            </w:tcMar>
          </w:tcPr>
          <w:p>
            <w:pPr>
              <w:spacing w:after="0" w:before="0"/>
            </w:pPr>
            <w:r>
              <w:rPr>
                <w:b/>
                <w:bCs/>
                <w:i w:val="false"/>
                <w:iCs w:val="false"/>
              </w:rPr>
              <w:t xml:space="preserve">How it is achieved on this project</w:t>
            </w:r>
          </w:p>
        </w:tc>
        <w:tc>
          <w:tcPr>
            <w:tcW w:type="dxa" w:w="2202"/>
            <w:shd w:fill="EDEDED" w:val="clear"/>
            <w:tcMar>
              <w:top w:type="dxa" w:w="60"/>
              <w:left w:type="dxa" w:w="100"/>
              <w:bottom w:type="dxa" w:w="60"/>
              <w:right w:type="dxa" w:w="100"/>
            </w:tcMar>
          </w:tcPr>
          <w:p>
            <w:pPr>
              <w:spacing w:after="0" w:before="0"/>
            </w:pPr>
            <w:r>
              <w:rPr>
                <w:b/>
                <w:bCs/>
                <w:i w:val="false"/>
                <w:iCs w:val="false"/>
              </w:rPr>
              <w:t xml:space="preserve">Evidence</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Awareness</w:t>
            </w:r>
          </w:p>
        </w:tc>
        <w:tc>
          <w:tcPr>
            <w:tcW w:type="dxa" w:w="5148"/>
            <w:tcMar>
              <w:top w:type="dxa" w:w="60"/>
              <w:left w:type="dxa" w:w="100"/>
              <w:bottom w:type="dxa" w:w="60"/>
              <w:right w:type="dxa" w:w="100"/>
            </w:tcMar>
          </w:tcPr>
          <w:p>
            <w:pPr>
              <w:spacing w:after="0" w:before="0"/>
            </w:pPr>
            <w:r>
              <w:rPr>
                <w:b w:val="false"/>
                <w:bCs w:val="false"/>
                <w:i w:val="false"/>
                <w:iCs w:val="false"/>
              </w:rPr>
              <w:t xml:space="preserve">Walkthroughs of current production and dispatch with the staff who perform each step, weeks 1 to 4; design review with NRB, weeks 5 and 6; factory acceptance delegation, week 17</w:t>
            </w:r>
          </w:p>
        </w:tc>
        <w:tc>
          <w:tcPr>
            <w:tcW w:type="dxa" w:w="2202"/>
            <w:tcMar>
              <w:top w:type="dxa" w:w="60"/>
              <w:left w:type="dxa" w:w="100"/>
              <w:bottom w:type="dxa" w:w="60"/>
              <w:right w:type="dxa" w:w="100"/>
            </w:tcMar>
          </w:tcPr>
          <w:p>
            <w:pPr>
              <w:spacing w:after="0" w:before="0"/>
            </w:pPr>
            <w:r>
              <w:rPr>
                <w:b w:val="false"/>
                <w:bCs w:val="false"/>
                <w:i w:val="false"/>
                <w:iCs w:val="false"/>
              </w:rPr>
              <w:t xml:space="preserve">Discovery Report; Detailed Design Approval</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Desire</w:t>
            </w:r>
          </w:p>
        </w:tc>
        <w:tc>
          <w:tcPr>
            <w:tcW w:type="dxa" w:w="5148"/>
            <w:tcMar>
              <w:top w:type="dxa" w:w="60"/>
              <w:left w:type="dxa" w:w="100"/>
              <w:bottom w:type="dxa" w:w="60"/>
              <w:right w:type="dxa" w:w="100"/>
            </w:tcMar>
          </w:tcPr>
          <w:p>
            <w:pPr>
              <w:spacing w:after="0" w:before="0"/>
            </w:pPr>
            <w:r>
              <w:rPr>
                <w:b w:val="false"/>
                <w:bCs w:val="false"/>
                <w:i w:val="false"/>
                <w:iCs w:val="false"/>
              </w:rPr>
              <w:t xml:space="preserve">Procedures written with NRB staff; NRB trainers drawn from NRB's own staff; NRB leadership involved through the Project Steering Committee and the management training in week 26</w:t>
            </w:r>
          </w:p>
        </w:tc>
        <w:tc>
          <w:tcPr>
            <w:tcW w:type="dxa" w:w="2202"/>
            <w:tcMar>
              <w:top w:type="dxa" w:w="60"/>
              <w:left w:type="dxa" w:w="100"/>
              <w:bottom w:type="dxa" w:w="60"/>
              <w:right w:type="dxa" w:w="100"/>
            </w:tcMar>
          </w:tcPr>
          <w:p>
            <w:pPr>
              <w:spacing w:after="0" w:before="0"/>
            </w:pPr>
            <w:r>
              <w:rPr>
                <w:b w:val="false"/>
                <w:bCs w:val="false"/>
                <w:i w:val="false"/>
                <w:iCs w:val="false"/>
              </w:rPr>
              <w:t xml:space="preserve">Approved procedures; trainer nominations</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Knowledge</w:t>
            </w:r>
          </w:p>
        </w:tc>
        <w:tc>
          <w:tcPr>
            <w:tcW w:type="dxa" w:w="5148"/>
            <w:tcMar>
              <w:top w:type="dxa" w:w="60"/>
              <w:left w:type="dxa" w:w="100"/>
              <w:bottom w:type="dxa" w:w="60"/>
              <w:right w:type="dxa" w:w="100"/>
            </w:tcMar>
          </w:tcPr>
          <w:p>
            <w:pPr>
              <w:spacing w:after="0" w:before="0"/>
            </w:pPr>
            <w:r>
              <w:rPr>
                <w:b w:val="false"/>
                <w:bCs w:val="false"/>
                <w:i w:val="false"/>
                <w:iCs w:val="false"/>
              </w:rPr>
              <w:t xml:space="preserve">Shadowing from week 15; formal training in weeks 25 to 28</w:t>
            </w:r>
          </w:p>
        </w:tc>
        <w:tc>
          <w:tcPr>
            <w:tcW w:type="dxa" w:w="2202"/>
            <w:tcMar>
              <w:top w:type="dxa" w:w="60"/>
              <w:left w:type="dxa" w:w="100"/>
              <w:bottom w:type="dxa" w:w="60"/>
              <w:right w:type="dxa" w:w="100"/>
            </w:tcMar>
          </w:tcPr>
          <w:p>
            <w:pPr>
              <w:spacing w:after="0" w:before="0"/>
            </w:pPr>
            <w:r>
              <w:rPr>
                <w:b w:val="false"/>
                <w:bCs w:val="false"/>
                <w:i w:val="false"/>
                <w:iCs w:val="false"/>
              </w:rPr>
              <w:t xml:space="preserve">Training reports; competence matrix</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Ability</w:t>
            </w:r>
          </w:p>
        </w:tc>
        <w:tc>
          <w:tcPr>
            <w:tcW w:type="dxa" w:w="5148"/>
            <w:tcMar>
              <w:top w:type="dxa" w:w="60"/>
              <w:left w:type="dxa" w:w="100"/>
              <w:bottom w:type="dxa" w:w="60"/>
              <w:right w:type="dxa" w:w="100"/>
            </w:tcMar>
          </w:tcPr>
          <w:p>
            <w:pPr>
              <w:spacing w:after="0" w:before="0"/>
            </w:pPr>
            <w:r>
              <w:rPr>
                <w:b w:val="false"/>
                <w:bCs w:val="false"/>
                <w:i w:val="false"/>
                <w:iCs w:val="false"/>
              </w:rPr>
              <w:t xml:space="preserve">Pilot production run by the trainees in week 26; coaching in live production in weeks 27 and 28</w:t>
            </w:r>
          </w:p>
        </w:tc>
        <w:tc>
          <w:tcPr>
            <w:tcW w:type="dxa" w:w="2202"/>
            <w:tcMar>
              <w:top w:type="dxa" w:w="60"/>
              <w:left w:type="dxa" w:w="100"/>
              <w:bottom w:type="dxa" w:w="60"/>
              <w:right w:type="dxa" w:w="100"/>
            </w:tcMar>
          </w:tcPr>
          <w:p>
            <w:pPr>
              <w:spacing w:after="0" w:before="0"/>
            </w:pPr>
            <w:r>
              <w:rPr>
                <w:b w:val="false"/>
                <w:bCs w:val="false"/>
                <w:i w:val="false"/>
                <w:iCs w:val="false"/>
              </w:rPr>
              <w:t xml:space="preserve">Pre-commissioning test 15; operational acceptance test 13</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Reinforcement</w:t>
            </w:r>
          </w:p>
        </w:tc>
        <w:tc>
          <w:tcPr>
            <w:tcW w:type="dxa" w:w="5148"/>
            <w:tcMar>
              <w:top w:type="dxa" w:w="60"/>
              <w:left w:type="dxa" w:w="100"/>
              <w:bottom w:type="dxa" w:w="60"/>
              <w:right w:type="dxa" w:w="100"/>
            </w:tcMar>
          </w:tcPr>
          <w:p>
            <w:pPr>
              <w:spacing w:after="0" w:before="0"/>
            </w:pPr>
            <w:r>
              <w:rPr>
                <w:b w:val="false"/>
                <w:bCs w:val="false"/>
                <w:i w:val="false"/>
                <w:iCs w:val="false"/>
              </w:rPr>
              <w:t xml:space="preserve">Operational independence shown in week 28; daily review with NRB during stabilization in weeks 31 and 32; monthly service review</w:t>
            </w:r>
          </w:p>
        </w:tc>
        <w:tc>
          <w:tcPr>
            <w:tcW w:type="dxa" w:w="2202"/>
            <w:tcMar>
              <w:top w:type="dxa" w:w="60"/>
              <w:left w:type="dxa" w:w="100"/>
              <w:bottom w:type="dxa" w:w="60"/>
              <w:right w:type="dxa" w:w="100"/>
            </w:tcMar>
          </w:tcPr>
          <w:p>
            <w:pPr>
              <w:spacing w:after="0" w:before="0"/>
            </w:pPr>
            <w:r>
              <w:rPr>
                <w:b w:val="false"/>
                <w:bCs w:val="false"/>
                <w:i w:val="false"/>
                <w:iCs w:val="false"/>
              </w:rPr>
              <w:t xml:space="preserve">Operational acceptance test 16; monthly service report</w:t>
            </w:r>
          </w:p>
        </w:tc>
      </w:tr>
    </w:tbl>
    <w:p>
      <w:pPr>
        <w:spacing w:after="140"/>
      </w:pPr>
    </w:p>
    <w:p>
      <w:pPr>
        <w:spacing w:after="140" w:line="276"/>
      </w:pPr>
      <w:r>
        <w:rPr>
          <w:b/>
          <w:bCs/>
          <w:i w:val="false"/>
          <w:iCs w:val="false"/>
        </w:rPr>
        <w:t xml:space="preserve">ITIL 4 change enablement and ISO/IEC 20000-1:2018 clause 8.5.1</w:t>
      </w:r>
      <w:r>
        <w:rPr>
          <w:b w:val="false"/>
          <w:bCs w:val="false"/>
          <w:i w:val="false"/>
          <w:iCs w:val="false"/>
        </w:rPr>
        <w:t xml:space="preserve"> structure the technical change control in </w:t>
      </w:r>
      <w:r>
        <w:rPr>
          <w:b w:val="false"/>
          <w:bCs w:val="false"/>
          <w:i w:val="false"/>
          <w:iCs w:val="false"/>
        </w:rPr>
        <w:t xml:space="preserve">Section 5</w:t>
      </w:r>
      <w:r>
        <w:rPr>
          <w:b w:val="false"/>
          <w:bCs w:val="false"/>
          <w:i w:val="false"/>
          <w:iCs w:val="false"/>
        </w:rPr>
        <w:t xml:space="preserve">. The practice is aligned with them.</w:t>
      </w:r>
    </w:p>
    <w:p>
      <w:pPr>
        <w:spacing w:after="140" w:line="276"/>
      </w:pPr>
      <w:r>
        <w:rPr>
          <w:b/>
          <w:bCs/>
          <w:i w:val="false"/>
          <w:iCs w:val="false"/>
        </w:rPr>
        <w:t xml:space="preserve">NIST Cybersecurity Framework 2.0</w:t>
      </w:r>
      <w:r>
        <w:rPr>
          <w:b w:val="false"/>
          <w:bCs w:val="false"/>
          <w:i w:val="false"/>
          <w:iCs w:val="false"/>
        </w:rPr>
        <w:t xml:space="preserve"> is the structure shared with the Cybersecurity Risk Management Plan, and the change controls are mapped to it in </w:t>
      </w:r>
      <w:r>
        <w:rPr>
          <w:b w:val="false"/>
          <w:bCs w:val="false"/>
          <w:i w:val="false"/>
          <w:iCs w:val="false"/>
        </w:rPr>
        <w:t xml:space="preserve">Section </w:t>
      </w:r>
      <w:fldSimple w:instr="REF sec_1_3 \w \h">
        <w:r>
          <w:t xml:space="preserve">1.3</w:t>
        </w:r>
      </w:fldSimple>
      <w:r>
        <w:rPr>
          <w:b w:val="false"/>
          <w:bCs w:val="false"/>
          <w:i w:val="false"/>
          <w:iCs w:val="false"/>
        </w:rPr>
        <w:t xml:space="preserve">.</w:t>
      </w:r>
    </w:p>
    <w:p>
      <w:pPr>
        <w:pStyle w:val="Heading2"/>
        <w:numPr>
          <w:ilvl w:val="1"/>
          <w:numId w:val="2"/>
        </w:numPr>
        <w:spacing w:after="140" w:before="260"/>
      </w:pPr>
      <w:r>
        <w:t xml:space="preserve">F</w:t>
      </w:r>
      <w:bookmarkStart w:name="sec_1_3" w:id="1"/>
      <w:r>
        <w:rPr>
          <w:b w:val="false"/>
          <w:bCs w:val="false"/>
          <w:i w:val="false"/>
          <w:iCs w:val="false"/>
        </w:rPr>
        <w:t xml:space="preserve">ramework compliance matrix</w:t>
      </w:r>
      <w:bookmarkEnd w:id="1"/>
    </w:p>
    <w:p>
      <w:pPr>
        <w:spacing w:after="140" w:line="276"/>
      </w:pPr>
      <w:r>
        <w:rPr>
          <w:b w:val="false"/>
          <w:bCs w:val="false"/>
          <w:i w:val="false"/>
          <w:iCs w:val="false"/>
        </w:rPr>
        <w:t xml:space="preserve">The matrix covers the change-related categories. The rest of the Framework is mapped in Cybersecurity Risk Management Plan Section 3.2.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72"/>
        <w:gridCol w:w="4261"/>
        <w:gridCol w:w="1687"/>
      </w:tblGrid>
      <w:tr>
        <w:trPr>
          <w:tblHeader/>
        </w:trPr>
        <w:tc>
          <w:tcPr>
            <w:tcW w:type="dxa" w:w="3072"/>
            <w:shd w:fill="EDEDED" w:val="clear"/>
            <w:tcMar>
              <w:top w:type="dxa" w:w="60"/>
              <w:left w:type="dxa" w:w="100"/>
              <w:bottom w:type="dxa" w:w="60"/>
              <w:right w:type="dxa" w:w="100"/>
            </w:tcMar>
          </w:tcPr>
          <w:p>
            <w:pPr>
              <w:spacing w:after="0" w:before="0"/>
            </w:pPr>
            <w:r>
              <w:rPr>
                <w:b/>
                <w:bCs/>
                <w:i w:val="false"/>
                <w:iCs w:val="false"/>
              </w:rPr>
              <w:t xml:space="preserve">NIST CSF 2.0, with ISO/IEC 27001 and ISO/IEC 20000-1</w:t>
            </w:r>
          </w:p>
        </w:tc>
        <w:tc>
          <w:tcPr>
            <w:tcW w:type="dxa" w:w="4261"/>
            <w:shd w:fill="EDEDED" w:val="clear"/>
            <w:tcMar>
              <w:top w:type="dxa" w:w="60"/>
              <w:left w:type="dxa" w:w="100"/>
              <w:bottom w:type="dxa" w:w="60"/>
              <w:right w:type="dxa" w:w="100"/>
            </w:tcMar>
          </w:tcPr>
          <w:p>
            <w:pPr>
              <w:spacing w:after="0" w:before="0"/>
            </w:pPr>
            <w:r>
              <w:rPr>
                <w:b/>
                <w:bCs/>
                <w:i w:val="false"/>
                <w:iCs w:val="false"/>
              </w:rPr>
              <w:t xml:space="preserve">How it is met</w:t>
            </w:r>
          </w:p>
        </w:tc>
        <w:tc>
          <w:tcPr>
            <w:tcW w:type="dxa" w:w="1687"/>
            <w:shd w:fill="EDEDED" w:val="clear"/>
            <w:tcMar>
              <w:top w:type="dxa" w:w="60"/>
              <w:left w:type="dxa" w:w="100"/>
              <w:bottom w:type="dxa" w:w="60"/>
              <w:right w:type="dxa" w:w="100"/>
            </w:tcMar>
          </w:tcPr>
          <w:p>
            <w:pPr>
              <w:spacing w:after="0" w:before="0"/>
            </w:pPr>
            <w:r>
              <w:rPr>
                <w:b/>
                <w:bCs/>
                <w:i w:val="false"/>
                <w:iCs w:val="false"/>
              </w:rPr>
              <w:t xml:space="preserve">Evidence</w:t>
            </w:r>
          </w:p>
        </w:tc>
      </w:tr>
      <w:tr>
        <w:tc>
          <w:tcPr>
            <w:tcW w:type="dxa" w:w="3072"/>
            <w:tcMar>
              <w:top w:type="dxa" w:w="60"/>
              <w:left w:type="dxa" w:w="100"/>
              <w:bottom w:type="dxa" w:w="60"/>
              <w:right w:type="dxa" w:w="100"/>
            </w:tcMar>
          </w:tcPr>
          <w:p>
            <w:pPr>
              <w:spacing w:after="0" w:before="0"/>
            </w:pPr>
            <w:r>
              <w:rPr>
                <w:b w:val="false"/>
                <w:bCs w:val="false"/>
                <w:i w:val="false"/>
                <w:iCs w:val="false"/>
              </w:rPr>
              <w:t xml:space="preserve">ID.RA-07 Changes managed and assessed for risk (A.8.32; ISO/IEC 20000-1 clause 8.5.1)</w:t>
            </w:r>
          </w:p>
        </w:tc>
        <w:tc>
          <w:tcPr>
            <w:tcW w:type="dxa" w:w="4261"/>
            <w:tcMar>
              <w:top w:type="dxa" w:w="60"/>
              <w:left w:type="dxa" w:w="100"/>
              <w:bottom w:type="dxa" w:w="60"/>
              <w:right w:type="dxa" w:w="100"/>
            </w:tcMar>
          </w:tcPr>
          <w:p>
            <w:pPr>
              <w:spacing w:after="0" w:before="0"/>
            </w:pPr>
            <w:r>
              <w:rPr>
                <w:b w:val="false"/>
                <w:bCs w:val="false"/>
                <w:i w:val="false"/>
                <w:iCs w:val="false"/>
              </w:rPr>
              <w:t xml:space="preserve">Change types, approval and procedure, </w:t>
            </w:r>
            <w:r>
              <w:rPr>
                <w:b w:val="false"/>
                <w:bCs w:val="false"/>
                <w:i w:val="false"/>
                <w:iCs w:val="false"/>
              </w:rPr>
              <w:t xml:space="preserve">Sections </w:t>
            </w:r>
            <w:fldSimple w:instr="REF sec_5_1 \w \h">
              <w:r>
                <w:t xml:space="preserve">5.1</w:t>
              </w:r>
            </w:fldSimple>
            <w:r>
              <w:rPr>
                <w:b w:val="false"/>
                <w:bCs w:val="false"/>
                <w:i w:val="false"/>
                <w:iCs w:val="false"/>
              </w:rPr>
              <w:t xml:space="preserve"> and </w:t>
            </w:r>
            <w:fldSimple w:instr="REF sec_5_2 \w \h">
              <w:r>
                <w:t xml:space="preserve">5.2</w:t>
              </w:r>
            </w:fldSimple>
          </w:p>
        </w:tc>
        <w:tc>
          <w:tcPr>
            <w:tcW w:type="dxa" w:w="1687"/>
            <w:tcMar>
              <w:top w:type="dxa" w:w="60"/>
              <w:left w:type="dxa" w:w="100"/>
              <w:bottom w:type="dxa" w:w="60"/>
              <w:right w:type="dxa" w:w="100"/>
            </w:tcMar>
          </w:tcPr>
          <w:p>
            <w:pPr>
              <w:spacing w:after="0" w:before="0"/>
            </w:pPr>
            <w:r>
              <w:rPr>
                <w:b w:val="false"/>
                <w:bCs w:val="false"/>
                <w:i w:val="false"/>
                <w:iCs w:val="false"/>
              </w:rPr>
              <w:t xml:space="preserve">Change log; change board minutes</w:t>
            </w:r>
          </w:p>
        </w:tc>
      </w:tr>
      <w:tr>
        <w:tc>
          <w:tcPr>
            <w:tcW w:type="dxa" w:w="3072"/>
            <w:tcMar>
              <w:top w:type="dxa" w:w="60"/>
              <w:left w:type="dxa" w:w="100"/>
              <w:bottom w:type="dxa" w:w="60"/>
              <w:right w:type="dxa" w:w="100"/>
            </w:tcMar>
          </w:tcPr>
          <w:p>
            <w:pPr>
              <w:spacing w:after="0" w:before="0"/>
            </w:pPr>
            <w:r>
              <w:rPr>
                <w:b w:val="false"/>
                <w:bCs w:val="false"/>
                <w:i w:val="false"/>
                <w:iCs w:val="false"/>
              </w:rPr>
              <w:t xml:space="preserve">PR.PS-01 Configuration management (A.8.9)</w:t>
            </w:r>
          </w:p>
        </w:tc>
        <w:tc>
          <w:tcPr>
            <w:tcW w:type="dxa" w:w="4261"/>
            <w:tcMar>
              <w:top w:type="dxa" w:w="60"/>
              <w:left w:type="dxa" w:w="100"/>
              <w:bottom w:type="dxa" w:w="60"/>
              <w:right w:type="dxa" w:w="100"/>
            </w:tcMar>
          </w:tcPr>
          <w:p>
            <w:pPr>
              <w:spacing w:after="0" w:before="0"/>
            </w:pPr>
            <w:r>
              <w:rPr>
                <w:b w:val="false"/>
                <w:bCs w:val="false"/>
                <w:i w:val="false"/>
                <w:iCs w:val="false"/>
              </w:rPr>
              <w:t xml:space="preserve">Baselines, version control and drift detection, </w:t>
            </w:r>
            <w:r>
              <w:rPr>
                <w:b w:val="false"/>
                <w:bCs w:val="false"/>
                <w:i w:val="false"/>
                <w:iCs w:val="false"/>
              </w:rPr>
              <w:t xml:space="preserve">Section </w:t>
            </w:r>
            <w:fldSimple w:instr="REF sec_5_3 \w \h">
              <w:r>
                <w:t xml:space="preserve">5.3</w:t>
              </w:r>
            </w:fldSimple>
            <w:r>
              <w:rPr>
                <w:b w:val="false"/>
                <w:bCs w:val="false"/>
                <w:i w:val="false"/>
                <w:iCs w:val="false"/>
              </w:rPr>
              <w:t xml:space="preserve">; System Architecture Section 12.1</w:t>
            </w:r>
          </w:p>
        </w:tc>
        <w:tc>
          <w:tcPr>
            <w:tcW w:type="dxa" w:w="1687"/>
            <w:tcMar>
              <w:top w:type="dxa" w:w="60"/>
              <w:left w:type="dxa" w:w="100"/>
              <w:bottom w:type="dxa" w:w="60"/>
              <w:right w:type="dxa" w:w="100"/>
            </w:tcMar>
          </w:tcPr>
          <w:p>
            <w:pPr>
              <w:spacing w:after="0" w:before="0"/>
            </w:pPr>
            <w:r>
              <w:rPr>
                <w:b w:val="false"/>
                <w:bCs w:val="false"/>
                <w:i w:val="false"/>
                <w:iCs w:val="false"/>
              </w:rPr>
              <w:t xml:space="preserve">Configuration repository; drift reports</w:t>
            </w:r>
          </w:p>
        </w:tc>
      </w:tr>
      <w:tr>
        <w:tc>
          <w:tcPr>
            <w:tcW w:type="dxa" w:w="3072"/>
            <w:tcMar>
              <w:top w:type="dxa" w:w="60"/>
              <w:left w:type="dxa" w:w="100"/>
              <w:bottom w:type="dxa" w:w="60"/>
              <w:right w:type="dxa" w:w="100"/>
            </w:tcMar>
          </w:tcPr>
          <w:p>
            <w:pPr>
              <w:spacing w:after="0" w:before="0"/>
            </w:pPr>
            <w:r>
              <w:rPr>
                <w:b w:val="false"/>
                <w:bCs w:val="false"/>
                <w:i w:val="false"/>
                <w:iCs w:val="false"/>
              </w:rPr>
              <w:t xml:space="preserve">PR.PS Separation of environments (A.8.31)</w:t>
            </w:r>
          </w:p>
        </w:tc>
        <w:tc>
          <w:tcPr>
            <w:tcW w:type="dxa" w:w="4261"/>
            <w:tcMar>
              <w:top w:type="dxa" w:w="60"/>
              <w:left w:type="dxa" w:w="100"/>
              <w:bottom w:type="dxa" w:w="60"/>
              <w:right w:type="dxa" w:w="100"/>
            </w:tcMar>
          </w:tcPr>
          <w:p>
            <w:pPr>
              <w:spacing w:after="0" w:before="0"/>
            </w:pPr>
            <w:r>
              <w:rPr>
                <w:b w:val="false"/>
                <w:bCs w:val="false"/>
                <w:i w:val="false"/>
                <w:iCs w:val="false"/>
              </w:rPr>
              <w:t xml:space="preserve">Changes promoted from development through user acceptance testing to production, </w:t>
            </w:r>
            <w:r>
              <w:rPr>
                <w:b w:val="false"/>
                <w:bCs w:val="false"/>
                <w:i w:val="false"/>
                <w:iCs w:val="false"/>
              </w:rPr>
              <w:t xml:space="preserve">Section </w:t>
            </w:r>
            <w:fldSimple w:instr="REF sec_5_2 \w \h">
              <w:r>
                <w:t xml:space="preserve">5.2</w:t>
              </w:r>
            </w:fldSimple>
          </w:p>
        </w:tc>
        <w:tc>
          <w:tcPr>
            <w:tcW w:type="dxa" w:w="1687"/>
            <w:tcMar>
              <w:top w:type="dxa" w:w="60"/>
              <w:left w:type="dxa" w:w="100"/>
              <w:bottom w:type="dxa" w:w="60"/>
              <w:right w:type="dxa" w:w="100"/>
            </w:tcMar>
          </w:tcPr>
          <w:p>
            <w:pPr>
              <w:spacing w:after="0" w:before="0"/>
            </w:pPr>
            <w:r>
              <w:rPr>
                <w:b w:val="false"/>
                <w:bCs w:val="false"/>
                <w:i w:val="false"/>
                <w:iCs w:val="false"/>
              </w:rPr>
              <w:t xml:space="preserve">Release records</w:t>
            </w:r>
          </w:p>
        </w:tc>
      </w:tr>
      <w:tr>
        <w:tc>
          <w:tcPr>
            <w:tcW w:type="dxa" w:w="3072"/>
            <w:tcMar>
              <w:top w:type="dxa" w:w="60"/>
              <w:left w:type="dxa" w:w="100"/>
              <w:bottom w:type="dxa" w:w="60"/>
              <w:right w:type="dxa" w:w="100"/>
            </w:tcMar>
          </w:tcPr>
          <w:p>
            <w:pPr>
              <w:spacing w:after="0" w:before="0"/>
            </w:pPr>
            <w:r>
              <w:rPr>
                <w:b w:val="false"/>
                <w:bCs w:val="false"/>
                <w:i w:val="false"/>
                <w:iCs w:val="false"/>
              </w:rPr>
              <w:t xml:space="preserve">GV.RR Roles and responsibilities (A.5.2, A.5.3)</w:t>
            </w:r>
          </w:p>
        </w:tc>
        <w:tc>
          <w:tcPr>
            <w:tcW w:type="dxa" w:w="4261"/>
            <w:tcMar>
              <w:top w:type="dxa" w:w="60"/>
              <w:left w:type="dxa" w:w="100"/>
              <w:bottom w:type="dxa" w:w="60"/>
              <w:right w:type="dxa" w:w="100"/>
            </w:tcMar>
          </w:tcPr>
          <w:p>
            <w:pPr>
              <w:spacing w:after="0" w:before="0"/>
            </w:pPr>
            <w:r>
              <w:rPr>
                <w:b w:val="false"/>
                <w:bCs w:val="false"/>
                <w:i w:val="false"/>
                <w:iCs w:val="false"/>
              </w:rPr>
              <w:t xml:space="preserve">Roles, decision rights and separation of duties, </w:t>
            </w:r>
            <w:r>
              <w:rPr>
                <w:b w:val="false"/>
                <w:bCs w:val="false"/>
                <w:i w:val="false"/>
                <w:iCs w:val="false"/>
              </w:rPr>
              <w:t xml:space="preserve">Section </w:t>
            </w:r>
            <w:fldSimple w:instr="REF sec_3_1 \w \h">
              <w:r>
                <w:t xml:space="preserve">3.1</w:t>
              </w:r>
            </w:fldSimple>
          </w:p>
        </w:tc>
        <w:tc>
          <w:tcPr>
            <w:tcW w:type="dxa" w:w="1687"/>
            <w:tcMar>
              <w:top w:type="dxa" w:w="60"/>
              <w:left w:type="dxa" w:w="100"/>
              <w:bottom w:type="dxa" w:w="60"/>
              <w:right w:type="dxa" w:w="100"/>
            </w:tcMar>
          </w:tcPr>
          <w:p>
            <w:pPr>
              <w:spacing w:after="0" w:before="0"/>
            </w:pPr>
            <w:r>
              <w:rPr>
                <w:b w:val="false"/>
                <w:bCs w:val="false"/>
                <w:i w:val="false"/>
                <w:iCs w:val="false"/>
              </w:rPr>
              <w:t xml:space="preserve">Approved governance tables</w:t>
            </w:r>
          </w:p>
        </w:tc>
      </w:tr>
      <w:tr>
        <w:tc>
          <w:tcPr>
            <w:tcW w:type="dxa" w:w="3072"/>
            <w:tcMar>
              <w:top w:type="dxa" w:w="60"/>
              <w:left w:type="dxa" w:w="100"/>
              <w:bottom w:type="dxa" w:w="60"/>
              <w:right w:type="dxa" w:w="100"/>
            </w:tcMar>
          </w:tcPr>
          <w:p>
            <w:pPr>
              <w:spacing w:after="0" w:before="0"/>
            </w:pPr>
            <w:r>
              <w:rPr>
                <w:b w:val="false"/>
                <w:bCs w:val="false"/>
                <w:i w:val="false"/>
                <w:iCs w:val="false"/>
              </w:rPr>
              <w:t xml:space="preserve">GV.PO Documented operating procedures (A.5.37)</w:t>
            </w:r>
          </w:p>
        </w:tc>
        <w:tc>
          <w:tcPr>
            <w:tcW w:type="dxa" w:w="4261"/>
            <w:tcMar>
              <w:top w:type="dxa" w:w="60"/>
              <w:left w:type="dxa" w:w="100"/>
              <w:bottom w:type="dxa" w:w="60"/>
              <w:right w:type="dxa" w:w="100"/>
            </w:tcMar>
          </w:tcPr>
          <w:p>
            <w:pPr>
              <w:spacing w:after="0" w:before="0"/>
            </w:pPr>
            <w:r>
              <w:rPr>
                <w:b w:val="false"/>
                <w:bCs w:val="false"/>
                <w:i w:val="false"/>
                <w:iCs w:val="false"/>
              </w:rPr>
              <w:t xml:space="preserve">Procedure lifecycle and ownership, </w:t>
            </w:r>
            <w:r>
              <w:rPr>
                <w:b w:val="false"/>
                <w:bCs w:val="false"/>
                <w:i w:val="false"/>
                <w:iCs w:val="false"/>
              </w:rPr>
              <w:t xml:space="preserve">Section </w:t>
            </w:r>
            <w:fldSimple w:instr="REF sec_2_1 \w \h">
              <w:r>
                <w:t xml:space="preserve">2.1</w:t>
              </w:r>
            </w:fldSimple>
          </w:p>
        </w:tc>
        <w:tc>
          <w:tcPr>
            <w:tcW w:type="dxa" w:w="1687"/>
            <w:tcMar>
              <w:top w:type="dxa" w:w="60"/>
              <w:left w:type="dxa" w:w="100"/>
              <w:bottom w:type="dxa" w:w="60"/>
              <w:right w:type="dxa" w:w="100"/>
            </w:tcMar>
          </w:tcPr>
          <w:p>
            <w:pPr>
              <w:spacing w:after="0" w:before="0"/>
            </w:pPr>
            <w:r>
              <w:rPr>
                <w:b w:val="false"/>
                <w:bCs w:val="false"/>
                <w:i w:val="false"/>
                <w:iCs w:val="false"/>
              </w:rPr>
              <w:t xml:space="preserve">Approved Standard Operating Procedures</w:t>
            </w:r>
          </w:p>
        </w:tc>
      </w:tr>
      <w:tr>
        <w:tc>
          <w:tcPr>
            <w:tcW w:type="dxa" w:w="3072"/>
            <w:tcMar>
              <w:top w:type="dxa" w:w="60"/>
              <w:left w:type="dxa" w:w="100"/>
              <w:bottom w:type="dxa" w:w="60"/>
              <w:right w:type="dxa" w:w="100"/>
            </w:tcMar>
          </w:tcPr>
          <w:p>
            <w:pPr>
              <w:spacing w:after="0" w:before="0"/>
            </w:pPr>
            <w:r>
              <w:rPr>
                <w:b w:val="false"/>
                <w:bCs w:val="false"/>
                <w:i w:val="false"/>
                <w:iCs w:val="false"/>
              </w:rPr>
              <w:t xml:space="preserve">PR.AT Awareness and training (A.6.3)</w:t>
            </w:r>
          </w:p>
        </w:tc>
        <w:tc>
          <w:tcPr>
            <w:tcW w:type="dxa" w:w="4261"/>
            <w:tcMar>
              <w:top w:type="dxa" w:w="60"/>
              <w:left w:type="dxa" w:w="100"/>
              <w:bottom w:type="dxa" w:w="60"/>
              <w:right w:type="dxa" w:w="100"/>
            </w:tcMar>
          </w:tcPr>
          <w:p>
            <w:pPr>
              <w:spacing w:after="0" w:before="0"/>
            </w:pPr>
            <w:r>
              <w:rPr>
                <w:b w:val="false"/>
                <w:bCs w:val="false"/>
                <w:i w:val="false"/>
                <w:iCs w:val="false"/>
              </w:rPr>
              <w:t xml:space="preserve">Capacity building, </w:t>
            </w:r>
            <w:r>
              <w:rPr>
                <w:b w:val="false"/>
                <w:bCs w:val="false"/>
                <w:i w:val="false"/>
                <w:iCs w:val="false"/>
              </w:rPr>
              <w:t xml:space="preserve">Section </w:t>
            </w:r>
            <w:fldSimple w:instr="REF sec_6_2 \w \h">
              <w:r>
                <w:t xml:space="preserve">6.2</w:t>
              </w:r>
            </w:fldSimple>
            <w:r>
              <w:rPr>
                <w:b w:val="false"/>
                <w:bCs w:val="false"/>
                <w:i w:val="false"/>
                <w:iCs w:val="false"/>
              </w:rPr>
              <w:t xml:space="preserve">; Preliminary Project Plan Section 3</w:t>
            </w:r>
          </w:p>
        </w:tc>
        <w:tc>
          <w:tcPr>
            <w:tcW w:type="dxa" w:w="1687"/>
            <w:tcMar>
              <w:top w:type="dxa" w:w="60"/>
              <w:left w:type="dxa" w:w="100"/>
              <w:bottom w:type="dxa" w:w="60"/>
              <w:right w:type="dxa" w:w="100"/>
            </w:tcMar>
          </w:tcPr>
          <w:p>
            <w:pPr>
              <w:spacing w:after="0" w:before="0"/>
            </w:pPr>
            <w:r>
              <w:rPr>
                <w:b w:val="false"/>
                <w:bCs w:val="false"/>
                <w:i w:val="false"/>
                <w:iCs w:val="false"/>
              </w:rPr>
              <w:t xml:space="preserve">Training records; competence matrix</w:t>
            </w:r>
          </w:p>
        </w:tc>
      </w:tr>
      <w:tr>
        <w:tc>
          <w:tcPr>
            <w:tcW w:type="dxa" w:w="3072"/>
            <w:tcMar>
              <w:top w:type="dxa" w:w="60"/>
              <w:left w:type="dxa" w:w="100"/>
              <w:bottom w:type="dxa" w:w="60"/>
              <w:right w:type="dxa" w:w="100"/>
            </w:tcMar>
          </w:tcPr>
          <w:p>
            <w:pPr>
              <w:spacing w:after="0" w:before="0"/>
            </w:pPr>
            <w:r>
              <w:rPr>
                <w:b w:val="false"/>
                <w:bCs w:val="false"/>
                <w:i w:val="false"/>
                <w:iCs w:val="false"/>
              </w:rPr>
              <w:t xml:space="preserve">ID.IM Improvement (Clause 10)</w:t>
            </w:r>
          </w:p>
        </w:tc>
        <w:tc>
          <w:tcPr>
            <w:tcW w:type="dxa" w:w="4261"/>
            <w:tcMar>
              <w:top w:type="dxa" w:w="60"/>
              <w:left w:type="dxa" w:w="100"/>
              <w:bottom w:type="dxa" w:w="60"/>
              <w:right w:type="dxa" w:w="100"/>
            </w:tcMar>
          </w:tcPr>
          <w:p>
            <w:pPr>
              <w:spacing w:after="0" w:before="0"/>
            </w:pPr>
            <w:r>
              <w:rPr>
                <w:b w:val="false"/>
                <w:bCs w:val="false"/>
                <w:i w:val="false"/>
                <w:iCs w:val="false"/>
              </w:rPr>
              <w:t xml:space="preserve">Review of emergency and failed changes; lessons from pilot production and coaching, </w:t>
            </w:r>
            <w:r>
              <w:rPr>
                <w:b w:val="false"/>
                <w:bCs w:val="false"/>
                <w:i w:val="false"/>
                <w:iCs w:val="false"/>
              </w:rPr>
              <w:t xml:space="preserve">Section </w:t>
            </w:r>
            <w:fldSimple w:instr="REF sec_5_2 \w \h">
              <w:r>
                <w:t xml:space="preserve">5.2</w:t>
              </w:r>
            </w:fldSimple>
          </w:p>
        </w:tc>
        <w:tc>
          <w:tcPr>
            <w:tcW w:type="dxa" w:w="1687"/>
            <w:tcMar>
              <w:top w:type="dxa" w:w="60"/>
              <w:left w:type="dxa" w:w="100"/>
              <w:bottom w:type="dxa" w:w="60"/>
              <w:right w:type="dxa" w:w="100"/>
            </w:tcMar>
          </w:tcPr>
          <w:p>
            <w:pPr>
              <w:spacing w:after="0" w:before="0"/>
            </w:pPr>
            <w:r>
              <w:rPr>
                <w:b w:val="false"/>
                <w:bCs w:val="false"/>
                <w:i w:val="false"/>
                <w:iCs w:val="false"/>
              </w:rPr>
              <w:t xml:space="preserve">Review records</w:t>
            </w:r>
          </w:p>
        </w:tc>
      </w:tr>
    </w:tbl>
    <w:p>
      <w:pPr>
        <w:spacing w:after="140"/>
      </w:pPr>
    </w:p>
    <w:p>
      <w:r>
        <w:br w:type="page"/>
      </w:r>
    </w:p>
    <w:p>
      <w:r>
        <w:br w:type="page"/>
      </w:r>
    </w:p>
    <w:p>
      <w:pPr>
        <w:pStyle w:val="Heading1"/>
        <w:numPr>
          <w:ilvl w:val="0"/>
          <w:numId w:val="2"/>
        </w:numPr>
        <w:spacing w:after="140" w:before="240"/>
      </w:pPr>
      <w:r>
        <w:t xml:space="preserve">C</w:t>
      </w:r>
      <w:bookmarkStart w:name="sec_2" w:id="1"/>
      <w:r>
        <w:rPr>
          <w:b w:val="false"/>
          <w:bCs w:val="false"/>
          <w:i w:val="false"/>
          <w:iCs w:val="false"/>
        </w:rPr>
        <w:t xml:space="preserve">hanges and Stakeholders</w:t>
      </w:r>
      <w:bookmarkEnd w:id="1"/>
    </w:p>
    <w:p>
      <w:pPr>
        <w:pStyle w:val="Heading2"/>
        <w:numPr>
          <w:ilvl w:val="1"/>
          <w:numId w:val="2"/>
        </w:numPr>
        <w:spacing w:after="140" w:before="260"/>
      </w:pPr>
      <w:r>
        <w:t xml:space="preserve">W</w:t>
      </w:r>
      <w:bookmarkStart w:name="sec_2_1" w:id="1"/>
      <w:r>
        <w:rPr>
          <w:b w:val="false"/>
          <w:bCs w:val="false"/>
          <w:i w:val="false"/>
          <w:iCs w:val="false"/>
        </w:rPr>
        <w:t xml:space="preserve">hat changes and how it is aligned with the project</w:t>
      </w:r>
      <w:bookmarkEnd w:id="1"/>
    </w:p>
    <w:p>
      <w:pPr>
        <w:spacing w:after="140" w:line="276"/>
      </w:pPr>
      <w:r>
        <w:rPr>
          <w:b w:val="false"/>
          <w:bCs w:val="false"/>
          <w:i w:val="false"/>
          <w:iCs w:val="false"/>
        </w:rPr>
        <w:t xml:space="preserve">Section VII clause 0.2.2 expects the facility to move national identity card issuance from a potentially manual, less secure and slower process to a modern, secure and efficient one. Today the existing card printers are fed by a middleware application reading the NRIS database, as described in System Architecture Section 13.2. The change is therefore to how NRB's staff receive, produce, account for and dispatch cards, as well as to the equipment they use.</w:t>
      </w:r>
    </w:p>
    <w:p>
      <w:pPr>
        <w:spacing w:after="140" w:line="276"/>
      </w:pPr>
      <w:r>
        <w:rPr>
          <w:b w:val="false"/>
          <w:bCs w:val="false"/>
          <w:i w:val="false"/>
          <w:iCs w:val="false"/>
        </w:rPr>
        <w:t xml:space="preserve">Each process follows the same path. It is designed with NRB and approved in weeks 5 and 6, its procedure is drafted in week 5 and issued in week 24, it is taught in weeks 25 to 28, and it is proven in live operation before NRB takes ownership of it. The process designs are in Preliminary Project Plan Section 2.4.</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5130"/>
        <w:gridCol w:w="211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Process</w:t>
            </w:r>
          </w:p>
        </w:tc>
        <w:tc>
          <w:tcPr>
            <w:tcW w:type="dxa" w:w="5130"/>
            <w:shd w:fill="EDEDED" w:val="clear"/>
            <w:tcMar>
              <w:top w:type="dxa" w:w="60"/>
              <w:left w:type="dxa" w:w="100"/>
              <w:bottom w:type="dxa" w:w="60"/>
              <w:right w:type="dxa" w:w="100"/>
            </w:tcMar>
          </w:tcPr>
          <w:p>
            <w:pPr>
              <w:spacing w:after="0" w:before="0"/>
            </w:pPr>
            <w:r>
              <w:rPr>
                <w:b/>
                <w:bCs/>
                <w:i w:val="false"/>
                <w:iCs w:val="false"/>
              </w:rPr>
              <w:t xml:space="preserve">What changes for NRB staff</w:t>
            </w:r>
          </w:p>
        </w:tc>
        <w:tc>
          <w:tcPr>
            <w:tcW w:type="dxa" w:w="2110"/>
            <w:shd w:fill="EDEDED" w:val="clear"/>
            <w:tcMar>
              <w:top w:type="dxa" w:w="60"/>
              <w:left w:type="dxa" w:w="100"/>
              <w:bottom w:type="dxa" w:w="60"/>
              <w:right w:type="dxa" w:w="100"/>
            </w:tcMar>
          </w:tcPr>
          <w:p>
            <w:pPr>
              <w:spacing w:after="0" w:before="0"/>
            </w:pPr>
            <w:r>
              <w:rPr>
                <w:b/>
                <w:bCs/>
                <w:i w:val="false"/>
                <w:iCs w:val="false"/>
              </w:rPr>
              <w:t xml:space="preserve">Proven by</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Request intake</w:t>
            </w:r>
          </w:p>
        </w:tc>
        <w:tc>
          <w:tcPr>
            <w:tcW w:type="dxa" w:w="5130"/>
            <w:tcMar>
              <w:top w:type="dxa" w:w="60"/>
              <w:left w:type="dxa" w:w="100"/>
              <w:bottom w:type="dxa" w:w="60"/>
              <w:right w:type="dxa" w:w="100"/>
            </w:tcMar>
          </w:tcPr>
          <w:p>
            <w:pPr>
              <w:spacing w:after="0" w:before="0"/>
            </w:pPr>
            <w:r>
              <w:rPr>
                <w:b w:val="false"/>
                <w:bCs w:val="false"/>
                <w:i w:val="false"/>
                <w:iCs w:val="false"/>
              </w:rPr>
              <w:t xml:space="preserve">Records released in NRIS are retrieved through one gateway, instead of by middleware reading the database. A record that fails validation is held with a reason and reported back to NRIS</w:t>
            </w:r>
          </w:p>
        </w:tc>
        <w:tc>
          <w:tcPr>
            <w:tcW w:type="dxa" w:w="2110"/>
            <w:tcMar>
              <w:top w:type="dxa" w:w="60"/>
              <w:left w:type="dxa" w:w="100"/>
              <w:bottom w:type="dxa" w:w="60"/>
              <w:right w:type="dxa" w:w="100"/>
            </w:tcMar>
          </w:tcPr>
          <w:p>
            <w:pPr>
              <w:spacing w:after="0" w:before="0"/>
            </w:pPr>
            <w:r>
              <w:rPr>
                <w:b w:val="false"/>
                <w:bCs w:val="false"/>
                <w:i w:val="false"/>
                <w:iCs w:val="false"/>
              </w:rPr>
              <w:t xml:space="preserve">Pre-commissioning test 9; operational acceptance test 6</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Production</w:t>
            </w:r>
          </w:p>
        </w:tc>
        <w:tc>
          <w:tcPr>
            <w:tcW w:type="dxa" w:w="5130"/>
            <w:tcMar>
              <w:top w:type="dxa" w:w="60"/>
              <w:left w:type="dxa" w:w="100"/>
              <w:bottom w:type="dxa" w:w="60"/>
              <w:right w:type="dxa" w:w="100"/>
            </w:tcMar>
          </w:tcPr>
          <w:p>
            <w:pPr>
              <w:spacing w:after="0" w:before="0"/>
            </w:pPr>
            <w:r>
              <w:rPr>
                <w:b w:val="false"/>
                <w:bCs w:val="false"/>
                <w:i w:val="false"/>
                <w:iCs w:val="false"/>
              </w:rPr>
              <w:t xml:space="preserve">Batches are assigned to either line, with in-line verification and reproduction of rejected cards within the same job</w:t>
            </w:r>
          </w:p>
        </w:tc>
        <w:tc>
          <w:tcPr>
            <w:tcW w:type="dxa" w:w="2110"/>
            <w:tcMar>
              <w:top w:type="dxa" w:w="60"/>
              <w:left w:type="dxa" w:w="100"/>
              <w:bottom w:type="dxa" w:w="60"/>
              <w:right w:type="dxa" w:w="100"/>
            </w:tcMar>
          </w:tcPr>
          <w:p>
            <w:pPr>
              <w:spacing w:after="0" w:before="0"/>
            </w:pPr>
            <w:r>
              <w:rPr>
                <w:b w:val="false"/>
                <w:bCs w:val="false"/>
                <w:i w:val="false"/>
                <w:iCs w:val="false"/>
              </w:rPr>
              <w:t xml:space="preserve">Operational acceptance tests 1, 3 and 7</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Card accountability</w:t>
            </w:r>
          </w:p>
        </w:tc>
        <w:tc>
          <w:tcPr>
            <w:tcW w:type="dxa" w:w="5130"/>
            <w:tcMar>
              <w:top w:type="dxa" w:w="60"/>
              <w:left w:type="dxa" w:w="100"/>
              <w:bottom w:type="dxa" w:w="60"/>
              <w:right w:type="dxa" w:w="100"/>
            </w:tcMar>
          </w:tcPr>
          <w:p>
            <w:pPr>
              <w:spacing w:after="0" w:before="0"/>
            </w:pPr>
            <w:r>
              <w:rPr>
                <w:b w:val="false"/>
                <w:bCs w:val="false"/>
                <w:i w:val="false"/>
                <w:iCs w:val="false"/>
              </w:rPr>
              <w:t xml:space="preserve">Every blank is held against its serial number from delivery to issue or certified destruction, and reconciled every shift</w:t>
            </w:r>
          </w:p>
        </w:tc>
        <w:tc>
          <w:tcPr>
            <w:tcW w:type="dxa" w:w="2110"/>
            <w:tcMar>
              <w:top w:type="dxa" w:w="60"/>
              <w:left w:type="dxa" w:w="100"/>
              <w:bottom w:type="dxa" w:w="60"/>
              <w:right w:type="dxa" w:w="100"/>
            </w:tcMar>
          </w:tcPr>
          <w:p>
            <w:pPr>
              <w:spacing w:after="0" w:before="0"/>
            </w:pPr>
            <w:r>
              <w:rPr>
                <w:b w:val="false"/>
                <w:bCs w:val="false"/>
                <w:i w:val="false"/>
                <w:iCs w:val="false"/>
              </w:rPr>
              <w:t xml:space="preserve">Operational acceptance tests 9 and 14</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Mailing and dispatch</w:t>
            </w:r>
          </w:p>
        </w:tc>
        <w:tc>
          <w:tcPr>
            <w:tcW w:type="dxa" w:w="5130"/>
            <w:tcMar>
              <w:top w:type="dxa" w:w="60"/>
              <w:left w:type="dxa" w:w="100"/>
              <w:bottom w:type="dxa" w:w="60"/>
              <w:right w:type="dxa" w:w="100"/>
            </w:tcMar>
          </w:tcPr>
          <w:p>
            <w:pPr>
              <w:spacing w:after="0" w:before="0"/>
            </w:pPr>
            <w:r>
              <w:rPr>
                <w:b w:val="false"/>
                <w:bCs w:val="false"/>
                <w:i w:val="false"/>
                <w:iCs w:val="false"/>
              </w:rPr>
              <w:t xml:space="preserve">Cards are matched with their carriers by card identifier, enveloped and batched by ordering office</w:t>
            </w:r>
          </w:p>
        </w:tc>
        <w:tc>
          <w:tcPr>
            <w:tcW w:type="dxa" w:w="2110"/>
            <w:tcMar>
              <w:top w:type="dxa" w:w="60"/>
              <w:left w:type="dxa" w:w="100"/>
              <w:bottom w:type="dxa" w:w="60"/>
              <w:right w:type="dxa" w:w="100"/>
            </w:tcMar>
          </w:tcPr>
          <w:p>
            <w:pPr>
              <w:spacing w:after="0" w:before="0"/>
            </w:pPr>
            <w:r>
              <w:rPr>
                <w:b w:val="false"/>
                <w:bCs w:val="false"/>
                <w:i w:val="false"/>
                <w:iCs w:val="false"/>
              </w:rPr>
              <w:t xml:space="preserve">Operational acceptance test 8</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Status</w:t>
            </w:r>
          </w:p>
        </w:tc>
        <w:tc>
          <w:tcPr>
            <w:tcW w:type="dxa" w:w="5130"/>
            <w:tcMar>
              <w:top w:type="dxa" w:w="60"/>
              <w:left w:type="dxa" w:w="100"/>
              <w:bottom w:type="dxa" w:w="60"/>
              <w:right w:type="dxa" w:w="100"/>
            </w:tcMar>
          </w:tcPr>
          <w:p>
            <w:pPr>
              <w:spacing w:after="0" w:before="0"/>
            </w:pPr>
            <w:r>
              <w:rPr>
                <w:b w:val="false"/>
                <w:bCs w:val="false"/>
                <w:i w:val="false"/>
                <w:iCs w:val="false"/>
              </w:rPr>
              <w:t xml:space="preserve">Status is published to NRIS automatically, where it drives the document tracker and the SMS to the cardholder</w:t>
            </w:r>
          </w:p>
        </w:tc>
        <w:tc>
          <w:tcPr>
            <w:tcW w:type="dxa" w:w="2110"/>
            <w:tcMar>
              <w:top w:type="dxa" w:w="60"/>
              <w:left w:type="dxa" w:w="100"/>
              <w:bottom w:type="dxa" w:w="60"/>
              <w:right w:type="dxa" w:w="100"/>
            </w:tcMar>
          </w:tcPr>
          <w:p>
            <w:pPr>
              <w:spacing w:after="0" w:before="0"/>
            </w:pPr>
            <w:r>
              <w:rPr>
                <w:b w:val="false"/>
                <w:bCs w:val="false"/>
                <w:i w:val="false"/>
                <w:iCs w:val="false"/>
              </w:rPr>
              <w:t xml:space="preserve">Operational acceptance tests 6 and 9</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Operation and first-line support</w:t>
            </w:r>
          </w:p>
        </w:tc>
        <w:tc>
          <w:tcPr>
            <w:tcW w:type="dxa" w:w="5130"/>
            <w:tcMar>
              <w:top w:type="dxa" w:w="60"/>
              <w:left w:type="dxa" w:w="100"/>
              <w:bottom w:type="dxa" w:w="60"/>
              <w:right w:type="dxa" w:w="100"/>
            </w:tcMar>
          </w:tcPr>
          <w:p>
            <w:pPr>
              <w:spacing w:after="0" w:before="0"/>
            </w:pPr>
            <w:r>
              <w:rPr>
                <w:b w:val="false"/>
                <w:bCs w:val="false"/>
                <w:i w:val="false"/>
                <w:iCs w:val="false"/>
              </w:rPr>
              <w:t xml:space="preserve">NRB staff operate the facility, administer the System and give first-line support</w:t>
            </w:r>
          </w:p>
        </w:tc>
        <w:tc>
          <w:tcPr>
            <w:tcW w:type="dxa" w:w="2110"/>
            <w:tcMar>
              <w:top w:type="dxa" w:w="60"/>
              <w:left w:type="dxa" w:w="100"/>
              <w:bottom w:type="dxa" w:w="60"/>
              <w:right w:type="dxa" w:w="100"/>
            </w:tcMar>
          </w:tcPr>
          <w:p>
            <w:pPr>
              <w:spacing w:after="0" w:before="0"/>
            </w:pPr>
            <w:r>
              <w:rPr>
                <w:b w:val="false"/>
                <w:bCs w:val="false"/>
                <w:i w:val="false"/>
                <w:iCs w:val="false"/>
              </w:rPr>
              <w:t xml:space="preserve">Operational acceptance tests 13 and 16</w:t>
            </w:r>
          </w:p>
        </w:tc>
      </w:tr>
    </w:tbl>
    <w:p>
      <w:pPr>
        <w:spacing w:after="140"/>
      </w:pPr>
    </w:p>
    <w:p>
      <w:pPr>
        <w:spacing w:after="140" w:line="276"/>
      </w:pPr>
      <w:r>
        <w:rPr>
          <w:b/>
          <w:bCs/>
          <w:i w:val="false"/>
          <w:iCs w:val="false"/>
        </w:rPr>
        <w:t xml:space="preserve">Procedures.</w:t>
      </w:r>
      <w:r>
        <w:rPr>
          <w:b w:val="false"/>
          <w:bCs w:val="false"/>
          <w:i w:val="false"/>
          <w:iCs w:val="false"/>
        </w:rPr>
        <w:t xml:space="preserve"> The Standard Operating Procedures are drafted with the NRB staff who will use them. They are issued in week 24 so that training teaches from them, then corrected from pilot production in week 26 and from coaching in weeks 27 and 28 under the documentation control of Preliminary Project Plan Section 4.7. They are proven usable in operational acceptance test 16. From handover each procedure has a named NRB process owner, and it changes only through documentation control, and through </w:t>
      </w:r>
      <w:r>
        <w:rPr>
          <w:b w:val="false"/>
          <w:bCs w:val="false"/>
          <w:i w:val="false"/>
          <w:iCs w:val="false"/>
        </w:rPr>
        <w:t xml:space="preserve">Section 5</w:t>
      </w:r>
      <w:r>
        <w:rPr>
          <w:b w:val="false"/>
          <w:bCs w:val="false"/>
          <w:i w:val="false"/>
          <w:iCs w:val="false"/>
        </w:rPr>
        <w:t xml:space="preserve"> where the change also touches the System.</w:t>
      </w:r>
    </w:p>
    <w:p>
      <w:pPr>
        <w:pStyle w:val="Heading2"/>
        <w:numPr>
          <w:ilvl w:val="1"/>
          <w:numId w:val="2"/>
        </w:numPr>
        <w:spacing w:after="140" w:before="260"/>
      </w:pPr>
      <w:r>
        <w:t xml:space="preserve">S</w:t>
      </w:r>
      <w:bookmarkStart w:name="sec_2_2" w:id="1"/>
      <w:r>
        <w:rPr>
          <w:b w:val="false"/>
          <w:bCs w:val="false"/>
          <w:i w:val="false"/>
          <w:iCs w:val="false"/>
        </w:rPr>
        <w:t xml:space="preserve">takeholders, impact and communication</w:t>
      </w:r>
      <w:bookmarkEnd w:id="1"/>
    </w:p>
    <w:p>
      <w:pPr>
        <w:spacing w:after="140" w:line="276"/>
      </w:pPr>
      <w:r>
        <w:rPr>
          <w:b w:val="false"/>
          <w:bCs w:val="false"/>
          <w:i w:val="false"/>
          <w:iCs w:val="false"/>
        </w:rPr>
        <w:t xml:space="preserve">The numbers of staff are those recommended in Preliminary Project Plan Section 3.2.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2559"/>
        <w:gridCol w:w="3342"/>
        <w:gridCol w:w="1559"/>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Group</w:t>
            </w:r>
          </w:p>
        </w:tc>
        <w:tc>
          <w:tcPr>
            <w:tcW w:type="dxa" w:w="2559"/>
            <w:shd w:fill="EDEDED" w:val="clear"/>
            <w:tcMar>
              <w:top w:type="dxa" w:w="60"/>
              <w:left w:type="dxa" w:w="100"/>
              <w:bottom w:type="dxa" w:w="60"/>
              <w:right w:type="dxa" w:w="100"/>
            </w:tcMar>
          </w:tcPr>
          <w:p>
            <w:pPr>
              <w:spacing w:after="0" w:before="0"/>
            </w:pPr>
            <w:r>
              <w:rPr>
                <w:b/>
                <w:bCs/>
                <w:i w:val="false"/>
                <w:iCs w:val="false"/>
              </w:rPr>
              <w:t xml:space="preserve">What changes for them</w:t>
            </w:r>
          </w:p>
        </w:tc>
        <w:tc>
          <w:tcPr>
            <w:tcW w:type="dxa" w:w="3342"/>
            <w:shd w:fill="EDEDED" w:val="clear"/>
            <w:tcMar>
              <w:top w:type="dxa" w:w="60"/>
              <w:left w:type="dxa" w:w="100"/>
              <w:bottom w:type="dxa" w:w="60"/>
              <w:right w:type="dxa" w:w="100"/>
            </w:tcMar>
          </w:tcPr>
          <w:p>
            <w:pPr>
              <w:spacing w:after="0" w:before="0"/>
            </w:pPr>
            <w:r>
              <w:rPr>
                <w:b/>
                <w:bCs/>
                <w:i w:val="false"/>
                <w:iCs w:val="false"/>
              </w:rPr>
              <w:t xml:space="preserve">How they are engaged</w:t>
            </w:r>
          </w:p>
        </w:tc>
        <w:tc>
          <w:tcPr>
            <w:tcW w:type="dxa" w:w="1559"/>
            <w:shd w:fill="EDEDED" w:val="clear"/>
            <w:tcMar>
              <w:top w:type="dxa" w:w="60"/>
              <w:left w:type="dxa" w:w="100"/>
              <w:bottom w:type="dxa" w:w="60"/>
              <w:right w:type="dxa" w:w="100"/>
            </w:tcMar>
          </w:tcPr>
          <w:p>
            <w:pPr>
              <w:spacing w:after="0" w:before="0"/>
            </w:pPr>
            <w:r>
              <w:rPr>
                <w:b/>
                <w:bCs/>
                <w:i w:val="false"/>
                <w:iCs w:val="false"/>
              </w:rPr>
              <w:t xml:space="preserve">Ready when</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User roles: operators, mailing and dispatch officers, quality assurance staff, card issuance officers, supervisors and helpdesk, 24</w:t>
            </w:r>
          </w:p>
        </w:tc>
        <w:tc>
          <w:tcPr>
            <w:tcW w:type="dxa" w:w="2559"/>
            <w:tcMar>
              <w:top w:type="dxa" w:w="60"/>
              <w:left w:type="dxa" w:w="100"/>
              <w:bottom w:type="dxa" w:w="60"/>
              <w:right w:type="dxa" w:w="100"/>
            </w:tcMar>
          </w:tcPr>
          <w:p>
            <w:pPr>
              <w:spacing w:after="0" w:before="0"/>
            </w:pPr>
            <w:r>
              <w:rPr>
                <w:b w:val="false"/>
                <w:bCs w:val="false"/>
                <w:i w:val="false"/>
                <w:iCs w:val="false"/>
              </w:rPr>
              <w:t xml:space="preserve">New consoles, procedures and controls across two shifts</w:t>
            </w:r>
          </w:p>
        </w:tc>
        <w:tc>
          <w:tcPr>
            <w:tcW w:type="dxa" w:w="3342"/>
            <w:tcMar>
              <w:top w:type="dxa" w:w="60"/>
              <w:left w:type="dxa" w:w="100"/>
              <w:bottom w:type="dxa" w:w="60"/>
              <w:right w:type="dxa" w:w="100"/>
            </w:tcMar>
          </w:tcPr>
          <w:p>
            <w:pPr>
              <w:spacing w:after="0" w:before="0"/>
            </w:pPr>
            <w:r>
              <w:rPr>
                <w:b w:val="false"/>
                <w:bCs w:val="false"/>
                <w:i w:val="false"/>
                <w:iCs w:val="false"/>
              </w:rPr>
              <w:t xml:space="preserve">Discovery walkthroughs; pilot production in week 26; training in weeks 25 to 28; coaching in weeks 27 and 28</w:t>
            </w:r>
          </w:p>
        </w:tc>
        <w:tc>
          <w:tcPr>
            <w:tcW w:type="dxa" w:w="1559"/>
            <w:tcMar>
              <w:top w:type="dxa" w:w="60"/>
              <w:left w:type="dxa" w:w="100"/>
              <w:bottom w:type="dxa" w:w="60"/>
              <w:right w:type="dxa" w:w="100"/>
            </w:tcMar>
          </w:tcPr>
          <w:p>
            <w:pPr>
              <w:spacing w:after="0" w:before="0"/>
            </w:pPr>
            <w:r>
              <w:rPr>
                <w:b w:val="false"/>
                <w:bCs w:val="false"/>
                <w:i w:val="false"/>
                <w:iCs w:val="false"/>
              </w:rPr>
              <w:t xml:space="preserve">Assessed competent; operational acceptance test 13 passed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Technical staff, 15</w:t>
            </w:r>
          </w:p>
        </w:tc>
        <w:tc>
          <w:tcPr>
            <w:tcW w:type="dxa" w:w="2559"/>
            <w:tcMar>
              <w:top w:type="dxa" w:w="60"/>
              <w:left w:type="dxa" w:w="100"/>
              <w:bottom w:type="dxa" w:w="60"/>
              <w:right w:type="dxa" w:w="100"/>
            </w:tcMar>
          </w:tcPr>
          <w:p>
            <w:pPr>
              <w:spacing w:after="0" w:before="0"/>
            </w:pPr>
            <w:r>
              <w:rPr>
                <w:b w:val="false"/>
                <w:bCs w:val="false"/>
                <w:i w:val="false"/>
                <w:iCs w:val="false"/>
              </w:rPr>
              <w:t xml:space="preserve">Administration and first-line support of a new estate</w:t>
            </w:r>
          </w:p>
        </w:tc>
        <w:tc>
          <w:tcPr>
            <w:tcW w:type="dxa" w:w="3342"/>
            <w:tcMar>
              <w:top w:type="dxa" w:w="60"/>
              <w:left w:type="dxa" w:w="100"/>
              <w:bottom w:type="dxa" w:w="60"/>
              <w:right w:type="dxa" w:w="100"/>
            </w:tcMar>
          </w:tcPr>
          <w:p>
            <w:pPr>
              <w:spacing w:after="0" w:before="0"/>
            </w:pPr>
            <w:r>
              <w:rPr>
                <w:b w:val="false"/>
                <w:bCs w:val="false"/>
                <w:i w:val="false"/>
                <w:iCs w:val="false"/>
              </w:rPr>
              <w:t xml:space="preserve">Factory training in week 17; shadowing from week 15; technical training in weeks 26 and 27</w:t>
            </w:r>
          </w:p>
        </w:tc>
        <w:tc>
          <w:tcPr>
            <w:tcW w:type="dxa" w:w="1559"/>
            <w:tcMar>
              <w:top w:type="dxa" w:w="60"/>
              <w:left w:type="dxa" w:w="100"/>
              <w:bottom w:type="dxa" w:w="60"/>
              <w:right w:type="dxa" w:w="100"/>
            </w:tcMar>
          </w:tcPr>
          <w:p>
            <w:pPr>
              <w:spacing w:after="0" w:before="0"/>
            </w:pPr>
            <w:r>
              <w:rPr>
                <w:b w:val="false"/>
                <w:bCs w:val="false"/>
                <w:i w:val="false"/>
                <w:iCs w:val="false"/>
              </w:rPr>
              <w:t xml:space="preserve">Operational acceptance test 16 passed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Management, 9</w:t>
            </w:r>
          </w:p>
        </w:tc>
        <w:tc>
          <w:tcPr>
            <w:tcW w:type="dxa" w:w="2559"/>
            <w:tcMar>
              <w:top w:type="dxa" w:w="60"/>
              <w:left w:type="dxa" w:w="100"/>
              <w:bottom w:type="dxa" w:w="60"/>
              <w:right w:type="dxa" w:w="100"/>
            </w:tcMar>
          </w:tcPr>
          <w:p>
            <w:pPr>
              <w:spacing w:after="0" w:before="0"/>
            </w:pPr>
            <w:r>
              <w:rPr>
                <w:b w:val="false"/>
                <w:bCs w:val="false"/>
                <w:i w:val="false"/>
                <w:iCs w:val="false"/>
              </w:rPr>
              <w:t xml:space="preserve">Oversight of a new facility, its controls and its approvals</w:t>
            </w:r>
          </w:p>
        </w:tc>
        <w:tc>
          <w:tcPr>
            <w:tcW w:type="dxa" w:w="3342"/>
            <w:tcMar>
              <w:top w:type="dxa" w:w="60"/>
              <w:left w:type="dxa" w:w="100"/>
              <w:bottom w:type="dxa" w:w="60"/>
              <w:right w:type="dxa" w:w="100"/>
            </w:tcMar>
          </w:tcPr>
          <w:p>
            <w:pPr>
              <w:spacing w:after="0" w:before="0"/>
            </w:pPr>
            <w:r>
              <w:rPr>
                <w:b w:val="false"/>
                <w:bCs w:val="false"/>
                <w:i w:val="false"/>
                <w:iCs w:val="false"/>
              </w:rPr>
              <w:t xml:space="preserve">Project Steering Committee; design review; management training in week 26</w:t>
            </w:r>
          </w:p>
        </w:tc>
        <w:tc>
          <w:tcPr>
            <w:tcW w:type="dxa" w:w="1559"/>
            <w:tcMar>
              <w:top w:type="dxa" w:w="60"/>
              <w:left w:type="dxa" w:w="100"/>
              <w:bottom w:type="dxa" w:w="60"/>
              <w:right w:type="dxa" w:w="100"/>
            </w:tcMar>
          </w:tcPr>
          <w:p>
            <w:pPr>
              <w:spacing w:after="0" w:before="0"/>
            </w:pPr>
            <w:r>
              <w:rPr>
                <w:b w:val="false"/>
                <w:bCs w:val="false"/>
                <w:i w:val="false"/>
                <w:iCs w:val="false"/>
              </w:rPr>
              <w:t xml:space="preserve">Readiness decisions taken at each gate in </w:t>
            </w:r>
            <w:r>
              <w:rPr>
                <w:b w:val="false"/>
                <w:bCs w:val="false"/>
                <w:i w:val="false"/>
                <w:iCs w:val="false"/>
              </w:rPr>
              <w:t xml:space="preserve">Section </w:t>
            </w:r>
            <w:fldSimple w:instr="REF sec_4_2 \w \h">
              <w:r>
                <w:t xml:space="preserve">4.2</w:t>
              </w:r>
            </w:fldSimple>
          </w:p>
        </w:tc>
      </w:tr>
      <w:tr>
        <w:tc>
          <w:tcPr>
            <w:tcW w:type="dxa" w:w="1560"/>
            <w:tcMar>
              <w:top w:type="dxa" w:w="60"/>
              <w:left w:type="dxa" w:w="100"/>
              <w:bottom w:type="dxa" w:w="60"/>
              <w:right w:type="dxa" w:w="100"/>
            </w:tcMar>
          </w:tcPr>
          <w:p>
            <w:pPr>
              <w:spacing w:after="0" w:before="0"/>
            </w:pPr>
            <w:r>
              <w:rPr>
                <w:b w:val="false"/>
                <w:bCs w:val="false"/>
                <w:i w:val="false"/>
                <w:iCs w:val="false"/>
              </w:rPr>
              <w:t xml:space="preserve">Staff of the existing printing operation</w:t>
            </w:r>
          </w:p>
        </w:tc>
        <w:tc>
          <w:tcPr>
            <w:tcW w:type="dxa" w:w="2559"/>
            <w:tcMar>
              <w:top w:type="dxa" w:w="60"/>
              <w:left w:type="dxa" w:w="100"/>
              <w:bottom w:type="dxa" w:w="60"/>
              <w:right w:type="dxa" w:w="100"/>
            </w:tcMar>
          </w:tcPr>
          <w:p>
            <w:pPr>
              <w:spacing w:after="0" w:before="0"/>
            </w:pPr>
            <w:r>
              <w:rPr>
                <w:b w:val="false"/>
                <w:bCs w:val="false"/>
                <w:i w:val="false"/>
                <w:iCs w:val="false"/>
              </w:rPr>
              <w:t xml:space="preserve">Their process moves to the new facility at cutover</w:t>
            </w:r>
          </w:p>
        </w:tc>
        <w:tc>
          <w:tcPr>
            <w:tcW w:type="dxa" w:w="3342"/>
            <w:tcMar>
              <w:top w:type="dxa" w:w="60"/>
              <w:left w:type="dxa" w:w="100"/>
              <w:bottom w:type="dxa" w:w="60"/>
              <w:right w:type="dxa" w:w="100"/>
            </w:tcMar>
          </w:tcPr>
          <w:p>
            <w:pPr>
              <w:spacing w:after="0" w:before="0"/>
            </w:pPr>
            <w:r>
              <w:rPr>
                <w:b w:val="false"/>
                <w:bCs w:val="false"/>
                <w:i w:val="false"/>
                <w:iCs w:val="false"/>
              </w:rPr>
              <w:t xml:space="preserve">Discovery walkthroughs; briefing before cutover. Their nomination as trainees is NRB's decision</w:t>
            </w:r>
          </w:p>
        </w:tc>
        <w:tc>
          <w:tcPr>
            <w:tcW w:type="dxa" w:w="1559"/>
            <w:tcMar>
              <w:top w:type="dxa" w:w="60"/>
              <w:left w:type="dxa" w:w="100"/>
              <w:bottom w:type="dxa" w:w="60"/>
              <w:right w:type="dxa" w:w="100"/>
            </w:tcMar>
          </w:tcPr>
          <w:p>
            <w:pPr>
              <w:spacing w:after="0" w:before="0"/>
            </w:pPr>
            <w:r>
              <w:rPr>
                <w:b w:val="false"/>
                <w:bCs w:val="false"/>
                <w:i w:val="false"/>
                <w:iCs w:val="false"/>
              </w:rPr>
              <w:t xml:space="preserve">NRB's cutover decision</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NRB developers</w:t>
            </w:r>
          </w:p>
        </w:tc>
        <w:tc>
          <w:tcPr>
            <w:tcW w:type="dxa" w:w="2559"/>
            <w:tcMar>
              <w:top w:type="dxa" w:w="60"/>
              <w:left w:type="dxa" w:w="100"/>
              <w:bottom w:type="dxa" w:w="60"/>
              <w:right w:type="dxa" w:w="100"/>
            </w:tcMar>
          </w:tcPr>
          <w:p>
            <w:pPr>
              <w:spacing w:after="0" w:before="0"/>
            </w:pPr>
            <w:r>
              <w:rPr>
                <w:b w:val="false"/>
                <w:bCs w:val="false"/>
                <w:i w:val="false"/>
                <w:iCs w:val="false"/>
              </w:rPr>
              <w:t xml:space="preserve">Build the NRIS side of the interface, which replaces the middleware</w:t>
            </w:r>
          </w:p>
        </w:tc>
        <w:tc>
          <w:tcPr>
            <w:tcW w:type="dxa" w:w="3342"/>
            <w:tcMar>
              <w:top w:type="dxa" w:w="60"/>
              <w:left w:type="dxa" w:w="100"/>
              <w:bottom w:type="dxa" w:w="60"/>
              <w:right w:type="dxa" w:w="100"/>
            </w:tcMar>
          </w:tcPr>
          <w:p>
            <w:pPr>
              <w:spacing w:after="0" w:before="0"/>
            </w:pPr>
            <w:r>
              <w:rPr>
                <w:b w:val="false"/>
                <w:bCs w:val="false"/>
                <w:i w:val="false"/>
                <w:iCs w:val="false"/>
              </w:rPr>
              <w:t xml:space="preserve">Interface Control Documents; joint checkpoint every two weeks from week 7; user acceptance testing in weeks 24 and 25</w:t>
            </w:r>
          </w:p>
        </w:tc>
        <w:tc>
          <w:tcPr>
            <w:tcW w:type="dxa" w:w="1559"/>
            <w:tcMar>
              <w:top w:type="dxa" w:w="60"/>
              <w:left w:type="dxa" w:w="100"/>
              <w:bottom w:type="dxa" w:w="60"/>
              <w:right w:type="dxa" w:w="100"/>
            </w:tcMar>
          </w:tcPr>
          <w:p>
            <w:pPr>
              <w:spacing w:after="0" w:before="0"/>
            </w:pPr>
            <w:r>
              <w:rPr>
                <w:b w:val="false"/>
                <w:bCs w:val="false"/>
                <w:i w:val="false"/>
                <w:iCs w:val="false"/>
              </w:rPr>
              <w:t xml:space="preserve">Integration complete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e-Government</w:t>
            </w:r>
          </w:p>
        </w:tc>
        <w:tc>
          <w:tcPr>
            <w:tcW w:type="dxa" w:w="2559"/>
            <w:tcMar>
              <w:top w:type="dxa" w:w="60"/>
              <w:left w:type="dxa" w:w="100"/>
              <w:bottom w:type="dxa" w:w="60"/>
              <w:right w:type="dxa" w:w="100"/>
            </w:tcMar>
          </w:tcPr>
          <w:p>
            <w:pPr>
              <w:spacing w:after="0" w:before="0"/>
            </w:pPr>
            <w:r>
              <w:rPr>
                <w:b w:val="false"/>
                <w:bCs w:val="false"/>
                <w:i w:val="false"/>
                <w:iCs w:val="false"/>
              </w:rPr>
              <w:t xml:space="preserve">Issues the certificates and provisions the network and remote access</w:t>
            </w:r>
          </w:p>
        </w:tc>
        <w:tc>
          <w:tcPr>
            <w:tcW w:type="dxa" w:w="3342"/>
            <w:tcMar>
              <w:top w:type="dxa" w:w="60"/>
              <w:left w:type="dxa" w:w="100"/>
              <w:bottom w:type="dxa" w:w="60"/>
              <w:right w:type="dxa" w:w="100"/>
            </w:tcMar>
          </w:tcPr>
          <w:p>
            <w:pPr>
              <w:spacing w:after="0" w:before="0"/>
            </w:pPr>
            <w:r>
              <w:rPr>
                <w:b w:val="false"/>
                <w:bCs w:val="false"/>
                <w:i w:val="false"/>
                <w:iCs w:val="false"/>
              </w:rPr>
              <w:t xml:space="preserve">Working sessions during design; inputs dated in Preliminary Project Plan Section 2.7</w:t>
            </w:r>
          </w:p>
        </w:tc>
        <w:tc>
          <w:tcPr>
            <w:tcW w:type="dxa" w:w="1559"/>
            <w:tcMar>
              <w:top w:type="dxa" w:w="60"/>
              <w:left w:type="dxa" w:w="100"/>
              <w:bottom w:type="dxa" w:w="60"/>
              <w:right w:type="dxa" w:w="100"/>
            </w:tcMar>
          </w:tcPr>
          <w:p>
            <w:pPr>
              <w:spacing w:after="0" w:before="0"/>
            </w:pPr>
            <w:r>
              <w:rPr>
                <w:b w:val="false"/>
                <w:bCs w:val="false"/>
                <w:i w:val="false"/>
                <w:iCs w:val="false"/>
              </w:rPr>
              <w:t xml:space="preserve">Inputs delivered on their dates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Registration and ordering offices</w:t>
            </w:r>
          </w:p>
        </w:tc>
        <w:tc>
          <w:tcPr>
            <w:tcW w:type="dxa" w:w="2559"/>
            <w:tcMar>
              <w:top w:type="dxa" w:w="60"/>
              <w:left w:type="dxa" w:w="100"/>
              <w:bottom w:type="dxa" w:w="60"/>
              <w:right w:type="dxa" w:w="100"/>
            </w:tcMar>
          </w:tcPr>
          <w:p>
            <w:pPr>
              <w:spacing w:after="0" w:before="0"/>
            </w:pPr>
            <w:r>
              <w:rPr>
                <w:b w:val="false"/>
                <w:bCs w:val="false"/>
                <w:i w:val="false"/>
                <w:iCs w:val="false"/>
              </w:rPr>
              <w:t xml:space="preserve">Cards arrive batched by ordering office, with their status in the document tracker</w:t>
            </w:r>
          </w:p>
        </w:tc>
        <w:tc>
          <w:tcPr>
            <w:tcW w:type="dxa" w:w="3342"/>
            <w:tcMar>
              <w:top w:type="dxa" w:w="60"/>
              <w:left w:type="dxa" w:w="100"/>
              <w:bottom w:type="dxa" w:w="60"/>
              <w:right w:type="dxa" w:w="100"/>
            </w:tcMar>
          </w:tcPr>
          <w:p>
            <w:pPr>
              <w:spacing w:after="0" w:before="0"/>
            </w:pPr>
            <w:r>
              <w:rPr>
                <w:b w:val="false"/>
                <w:bCs w:val="false"/>
                <w:i w:val="false"/>
                <w:iCs w:val="false"/>
              </w:rPr>
              <w:t xml:space="preserve">Through NRB</w:t>
            </w:r>
          </w:p>
        </w:tc>
        <w:tc>
          <w:tcPr>
            <w:tcW w:type="dxa" w:w="1559"/>
            <w:tcMar>
              <w:top w:type="dxa" w:w="60"/>
              <w:left w:type="dxa" w:w="100"/>
              <w:bottom w:type="dxa" w:w="60"/>
              <w:right w:type="dxa" w:w="100"/>
            </w:tcMar>
          </w:tcPr>
          <w:p>
            <w:pPr>
              <w:spacing w:after="0" w:before="0"/>
            </w:pPr>
            <w:r>
              <w:rPr>
                <w:b w:val="false"/>
                <w:bCs w:val="false"/>
                <w:i w:val="false"/>
                <w:iCs w:val="false"/>
              </w:rPr>
              <w:t xml:space="preserve">NRB's announcement of live production</w:t>
            </w:r>
          </w:p>
        </w:tc>
      </w:tr>
    </w:tbl>
    <w:p>
      <w:pPr>
        <w:spacing w:after="140"/>
      </w:pPr>
    </w:p>
    <w:p>
      <w:pPr>
        <w:spacing w:after="140" w:line="276"/>
      </w:pPr>
      <w:r>
        <w:rPr>
          <w:b/>
          <w:bCs/>
          <w:i w:val="false"/>
          <w:iCs w:val="false"/>
        </w:rPr>
        <w:t xml:space="preserve">Communication.</w:t>
      </w:r>
      <w:r>
        <w:rPr>
          <w:b w:val="false"/>
          <w:bCs w:val="false"/>
          <w:i w:val="false"/>
          <w:iCs w:val="false"/>
        </w:rPr>
        <w:t xml:space="preserve"> NRB leads communication with its own staff, with the registration and ordering offices and with the public, and decides when live production is announced. Inkript provides the content and briefings NRB needs, and takes part in stakeholder engagement when asked, under GCC 9.13. Inkript keeps NRB management and the NRIS team informed through the project bodies in </w:t>
      </w:r>
      <w:r>
        <w:rPr>
          <w:b w:val="false"/>
          <w:bCs w:val="false"/>
          <w:i w:val="false"/>
          <w:iCs w:val="false"/>
        </w:rPr>
        <w:t xml:space="preserve">Section </w:t>
      </w:r>
      <w:fldSimple w:instr="REF sec_3_1 \w \h">
        <w:r>
          <w:t xml:space="preserve">3.1</w:t>
        </w:r>
      </w:fldSimple>
      <w:r>
        <w:rPr>
          <w:b w:val="false"/>
          <w:bCs w:val="false"/>
          <w:i w:val="false"/>
          <w:iCs w:val="false"/>
        </w:rPr>
        <w:t xml:space="preserve">, and makes no public statement.</w:t>
      </w:r>
    </w:p>
    <w:p>
      <w:r>
        <w:br w:type="page"/>
      </w:r>
    </w:p>
    <w:p>
      <w:r>
        <w:br w:type="page"/>
      </w:r>
    </w:p>
    <w:p>
      <w:pPr>
        <w:pStyle w:val="Heading1"/>
        <w:numPr>
          <w:ilvl w:val="0"/>
          <w:numId w:val="2"/>
        </w:numPr>
        <w:spacing w:after="140" w:before="240"/>
      </w:pPr>
      <w:r>
        <w:t xml:space="preserve">G</w:t>
      </w:r>
      <w:bookmarkStart w:name="sec_3" w:id="1"/>
      <w:r>
        <w:rPr>
          <w:b w:val="false"/>
          <w:bCs w:val="false"/>
          <w:i w:val="false"/>
          <w:iCs w:val="false"/>
        </w:rPr>
        <w:t xml:space="preserve">overnance</w:t>
      </w:r>
      <w:bookmarkEnd w:id="1"/>
    </w:p>
    <w:p>
      <w:pPr>
        <w:pStyle w:val="Heading2"/>
        <w:numPr>
          <w:ilvl w:val="1"/>
          <w:numId w:val="2"/>
        </w:numPr>
        <w:spacing w:after="140" w:before="260"/>
      </w:pPr>
      <w:r>
        <w:t xml:space="preserve">R</w:t>
      </w:r>
      <w:bookmarkStart w:name="sec_3_1" w:id="1"/>
      <w:r>
        <w:rPr>
          <w:b w:val="false"/>
          <w:bCs w:val="false"/>
          <w:i w:val="false"/>
          <w:iCs w:val="false"/>
        </w:rPr>
        <w:t xml:space="preserve">oles, decisions and reporting</w:t>
      </w:r>
      <w:bookmarkEnd w:id="1"/>
    </w:p>
    <w:p>
      <w:pPr>
        <w:spacing w:after="140" w:line="276"/>
      </w:pPr>
      <w:r>
        <w:rPr>
          <w:b w:val="false"/>
          <w:bCs w:val="false"/>
          <w:i w:val="false"/>
          <w:iCs w:val="false"/>
        </w:rPr>
        <w:t xml:space="preserve">The plan uses the project bodies that already exist, and adds only a change board for technical change.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Role or body</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Responsibility</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Project Steering Committee</w:t>
            </w:r>
          </w:p>
        </w:tc>
        <w:tc>
          <w:tcPr>
            <w:tcW w:type="dxa" w:w="7240"/>
            <w:tcMar>
              <w:top w:type="dxa" w:w="60"/>
              <w:left w:type="dxa" w:w="100"/>
              <w:bottom w:type="dxa" w:w="60"/>
              <w:right w:type="dxa" w:w="100"/>
            </w:tcMar>
          </w:tcPr>
          <w:p>
            <w:pPr>
              <w:spacing w:after="0" w:before="0"/>
            </w:pPr>
            <w:r>
              <w:rPr>
                <w:b w:val="false"/>
                <w:bCs w:val="false"/>
                <w:i w:val="false"/>
                <w:iCs w:val="false"/>
              </w:rPr>
              <w:t xml:space="preserve">Receives the change and readiness status monthly; decides any readiness gate referred to it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Purchaser's Project Manager</w:t>
            </w:r>
          </w:p>
        </w:tc>
        <w:tc>
          <w:tcPr>
            <w:tcW w:type="dxa" w:w="7240"/>
            <w:tcMar>
              <w:top w:type="dxa" w:w="60"/>
              <w:left w:type="dxa" w:w="100"/>
              <w:bottom w:type="dxa" w:w="60"/>
              <w:right w:type="dxa" w:w="100"/>
            </w:tcMar>
          </w:tcPr>
          <w:p>
            <w:pPr>
              <w:spacing w:after="0" w:before="0"/>
            </w:pPr>
            <w:r>
              <w:rPr>
                <w:b w:val="false"/>
                <w:bCs w:val="false"/>
                <w:i w:val="false"/>
                <w:iCs w:val="false"/>
              </w:rPr>
              <w:t xml:space="preserve">Approves the processes, procedures and readiness at each gate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Supplier's Representative</w:t>
            </w:r>
          </w:p>
        </w:tc>
        <w:tc>
          <w:tcPr>
            <w:tcW w:type="dxa" w:w="7240"/>
            <w:tcMar>
              <w:top w:type="dxa" w:w="60"/>
              <w:left w:type="dxa" w:w="100"/>
              <w:bottom w:type="dxa" w:w="60"/>
              <w:right w:type="dxa" w:w="100"/>
            </w:tcMar>
          </w:tcPr>
          <w:p>
            <w:pPr>
              <w:spacing w:after="0" w:before="0"/>
            </w:pPr>
            <w:r>
              <w:rPr>
                <w:b w:val="false"/>
                <w:bCs w:val="false"/>
                <w:i w:val="false"/>
                <w:iCs w:val="false"/>
              </w:rPr>
              <w:t xml:space="preserve">Coordinates the Supplier's work and reports monthly</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Training and Change Management Specialist</w:t>
            </w:r>
          </w:p>
        </w:tc>
        <w:tc>
          <w:tcPr>
            <w:tcW w:type="dxa" w:w="7240"/>
            <w:tcMar>
              <w:top w:type="dxa" w:w="60"/>
              <w:left w:type="dxa" w:w="100"/>
              <w:bottom w:type="dxa" w:w="60"/>
              <w:right w:type="dxa" w:w="100"/>
            </w:tcMar>
          </w:tcPr>
          <w:p>
            <w:pPr>
              <w:spacing w:after="0" w:before="0"/>
            </w:pPr>
            <w:r>
              <w:rPr>
                <w:b w:val="false"/>
                <w:bCs w:val="false"/>
                <w:i w:val="false"/>
                <w:iCs w:val="false"/>
              </w:rPr>
              <w:t xml:space="preserve">Owns this plan: impact on each group, support to NRB's engagement, procedure adoption, and the readiness evidence for each gate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Change board</w:t>
            </w:r>
          </w:p>
        </w:tc>
        <w:tc>
          <w:tcPr>
            <w:tcW w:type="dxa" w:w="7240"/>
            <w:tcMar>
              <w:top w:type="dxa" w:w="60"/>
              <w:left w:type="dxa" w:w="100"/>
              <w:bottom w:type="dxa" w:w="60"/>
              <w:right w:type="dxa" w:w="100"/>
            </w:tcMar>
          </w:tcPr>
          <w:p>
            <w:pPr>
              <w:spacing w:after="0" w:before="0"/>
            </w:pPr>
            <w:r>
              <w:rPr>
                <w:b w:val="false"/>
                <w:bCs w:val="false"/>
                <w:i w:val="false"/>
                <w:iCs w:val="false"/>
              </w:rPr>
              <w:t xml:space="preserve">Solution Architect as Supplier technical lead, NRB ICT manager, NRB operations manager, and the NRB security officer for security-relevant changes. Approves technical changes under </w:t>
            </w:r>
            <w:r>
              <w:rPr>
                <w:b w:val="false"/>
                <w:bCs w:val="false"/>
                <w:i w:val="false"/>
                <w:iCs w:val="false"/>
              </w:rPr>
              <w:t xml:space="preserve">Section 5</w:t>
            </w:r>
            <w:r>
              <w:rPr>
                <w:b w:val="false"/>
                <w:bCs w:val="false"/>
                <w:i w:val="false"/>
                <w:iCs w:val="false"/>
              </w:rPr>
              <w:t xml:space="preserve">. Meets weekly from the start of installation in week 15, and monthly or on demand in operation. Chaired by NRB from handover</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NRB process owners</w:t>
            </w:r>
          </w:p>
        </w:tc>
        <w:tc>
          <w:tcPr>
            <w:tcW w:type="dxa" w:w="7240"/>
            <w:tcMar>
              <w:top w:type="dxa" w:w="60"/>
              <w:left w:type="dxa" w:w="100"/>
              <w:bottom w:type="dxa" w:w="60"/>
              <w:right w:type="dxa" w:w="100"/>
            </w:tcMar>
          </w:tcPr>
          <w:p>
            <w:pPr>
              <w:spacing w:after="0" w:before="0"/>
            </w:pPr>
            <w:r>
              <w:rPr>
                <w:b w:val="false"/>
                <w:bCs w:val="false"/>
                <w:i w:val="false"/>
                <w:iCs w:val="false"/>
              </w:rPr>
              <w:t xml:space="preserve">Own each process and its procedures from handover</w:t>
            </w:r>
          </w:p>
        </w:tc>
      </w:tr>
    </w:tbl>
    <w:p>
      <w:pPr>
        <w:spacing w:after="14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087"/>
        <w:gridCol w:w="4933"/>
      </w:tblGrid>
      <w:tr>
        <w:trPr>
          <w:tblHeader/>
        </w:trPr>
        <w:tc>
          <w:tcPr>
            <w:tcW w:type="dxa" w:w="4087"/>
            <w:shd w:fill="EDEDED" w:val="clear"/>
            <w:tcMar>
              <w:top w:type="dxa" w:w="60"/>
              <w:left w:type="dxa" w:w="100"/>
              <w:bottom w:type="dxa" w:w="60"/>
              <w:right w:type="dxa" w:w="100"/>
            </w:tcMar>
          </w:tcPr>
          <w:p>
            <w:pPr>
              <w:spacing w:after="0" w:before="0"/>
            </w:pPr>
            <w:r>
              <w:rPr>
                <w:b/>
                <w:bCs/>
                <w:i w:val="false"/>
                <w:iCs w:val="false"/>
              </w:rPr>
              <w:t xml:space="preserve">Decision</w:t>
            </w:r>
          </w:p>
        </w:tc>
        <w:tc>
          <w:tcPr>
            <w:tcW w:type="dxa" w:w="4933"/>
            <w:shd w:fill="EDEDED" w:val="clear"/>
            <w:tcMar>
              <w:top w:type="dxa" w:w="60"/>
              <w:left w:type="dxa" w:w="100"/>
              <w:bottom w:type="dxa" w:w="60"/>
              <w:right w:type="dxa" w:w="100"/>
            </w:tcMar>
          </w:tcPr>
          <w:p>
            <w:pPr>
              <w:spacing w:after="0" w:before="0"/>
            </w:pPr>
            <w:r>
              <w:rPr>
                <w:b/>
                <w:bCs/>
                <w:i w:val="false"/>
                <w:iCs w:val="false"/>
              </w:rPr>
              <w:t xml:space="preserve">Decided by</w:t>
            </w:r>
          </w:p>
        </w:tc>
      </w:tr>
      <w:tr>
        <w:tc>
          <w:tcPr>
            <w:tcW w:type="dxa" w:w="4087"/>
            <w:tcMar>
              <w:top w:type="dxa" w:w="60"/>
              <w:left w:type="dxa" w:w="100"/>
              <w:bottom w:type="dxa" w:w="60"/>
              <w:right w:type="dxa" w:w="100"/>
            </w:tcMar>
          </w:tcPr>
          <w:p>
            <w:pPr>
              <w:spacing w:after="0" w:before="0"/>
            </w:pPr>
            <w:r>
              <w:rPr>
                <w:b w:val="false"/>
                <w:bCs w:val="false"/>
                <w:i w:val="false"/>
                <w:iCs w:val="false"/>
              </w:rPr>
              <w:t xml:space="preserve">Approval of processes, roles and procedures</w:t>
            </w:r>
          </w:p>
        </w:tc>
        <w:tc>
          <w:tcPr>
            <w:tcW w:type="dxa" w:w="4933"/>
            <w:tcMar>
              <w:top w:type="dxa" w:w="60"/>
              <w:left w:type="dxa" w:w="100"/>
              <w:bottom w:type="dxa" w:w="60"/>
              <w:right w:type="dxa" w:w="100"/>
            </w:tcMar>
          </w:tcPr>
          <w:p>
            <w:pPr>
              <w:spacing w:after="0" w:before="0"/>
            </w:pPr>
            <w:r>
              <w:rPr>
                <w:b w:val="false"/>
                <w:bCs w:val="false"/>
                <w:i w:val="false"/>
                <w:iCs w:val="false"/>
              </w:rPr>
              <w:t xml:space="preserve">Purchaser's Project Manager</w:t>
            </w:r>
          </w:p>
        </w:tc>
      </w:tr>
      <w:tr>
        <w:tc>
          <w:tcPr>
            <w:tcW w:type="dxa" w:w="4087"/>
            <w:tcMar>
              <w:top w:type="dxa" w:w="60"/>
              <w:left w:type="dxa" w:w="100"/>
              <w:bottom w:type="dxa" w:w="60"/>
              <w:right w:type="dxa" w:w="100"/>
            </w:tcMar>
          </w:tcPr>
          <w:p>
            <w:pPr>
              <w:spacing w:after="0" w:before="0"/>
            </w:pPr>
            <w:r>
              <w:rPr>
                <w:b w:val="false"/>
                <w:bCs w:val="false"/>
                <w:i w:val="false"/>
                <w:iCs w:val="false"/>
              </w:rPr>
              <w:t xml:space="preserve">Timing of cutover, for each request type</w:t>
            </w:r>
          </w:p>
        </w:tc>
        <w:tc>
          <w:tcPr>
            <w:tcW w:type="dxa" w:w="4933"/>
            <w:tcMar>
              <w:top w:type="dxa" w:w="60"/>
              <w:left w:type="dxa" w:w="100"/>
              <w:bottom w:type="dxa" w:w="60"/>
              <w:right w:type="dxa" w:w="100"/>
            </w:tcMar>
          </w:tcPr>
          <w:p>
            <w:pPr>
              <w:spacing w:after="0" w:before="0"/>
            </w:pPr>
            <w:r>
              <w:rPr>
                <w:b w:val="false"/>
                <w:bCs w:val="false"/>
                <w:i w:val="false"/>
                <w:iCs w:val="false"/>
              </w:rPr>
              <w:t xml:space="preserve">NRB</w:t>
            </w:r>
          </w:p>
        </w:tc>
      </w:tr>
      <w:tr>
        <w:tc>
          <w:tcPr>
            <w:tcW w:type="dxa" w:w="4087"/>
            <w:tcMar>
              <w:top w:type="dxa" w:w="60"/>
              <w:left w:type="dxa" w:w="100"/>
              <w:bottom w:type="dxa" w:w="60"/>
              <w:right w:type="dxa" w:w="100"/>
            </w:tcMar>
          </w:tcPr>
          <w:p>
            <w:pPr>
              <w:spacing w:after="0" w:before="0"/>
            </w:pPr>
            <w:r>
              <w:rPr>
                <w:b w:val="false"/>
                <w:bCs w:val="false"/>
                <w:i w:val="false"/>
                <w:iCs w:val="false"/>
              </w:rPr>
              <w:t xml:space="preserve">Readiness at each gate</w:t>
            </w:r>
          </w:p>
        </w:tc>
        <w:tc>
          <w:tcPr>
            <w:tcW w:type="dxa" w:w="4933"/>
            <w:tcMar>
              <w:top w:type="dxa" w:w="60"/>
              <w:left w:type="dxa" w:w="100"/>
              <w:bottom w:type="dxa" w:w="60"/>
              <w:right w:type="dxa" w:w="100"/>
            </w:tcMar>
          </w:tcPr>
          <w:p>
            <w:pPr>
              <w:spacing w:after="0" w:before="0"/>
            </w:pPr>
            <w:r>
              <w:rPr>
                <w:b w:val="false"/>
                <w:bCs w:val="false"/>
                <w:i w:val="false"/>
                <w:iCs w:val="false"/>
              </w:rPr>
              <w:t xml:space="preserve">Purchaser's Project Manager, on the Steering Committee's recommendation</w:t>
            </w:r>
          </w:p>
        </w:tc>
      </w:tr>
      <w:tr>
        <w:tc>
          <w:tcPr>
            <w:tcW w:type="dxa" w:w="4087"/>
            <w:tcMar>
              <w:top w:type="dxa" w:w="60"/>
              <w:left w:type="dxa" w:w="100"/>
              <w:bottom w:type="dxa" w:w="60"/>
              <w:right w:type="dxa" w:w="100"/>
            </w:tcMar>
          </w:tcPr>
          <w:p>
            <w:pPr>
              <w:spacing w:after="0" w:before="0"/>
            </w:pPr>
            <w:r>
              <w:rPr>
                <w:b w:val="false"/>
                <w:bCs w:val="false"/>
                <w:i w:val="false"/>
                <w:iCs w:val="false"/>
              </w:rPr>
              <w:t xml:space="preserve">Normal technical change</w:t>
            </w:r>
          </w:p>
        </w:tc>
        <w:tc>
          <w:tcPr>
            <w:tcW w:type="dxa" w:w="4933"/>
            <w:tcMar>
              <w:top w:type="dxa" w:w="60"/>
              <w:left w:type="dxa" w:w="100"/>
              <w:bottom w:type="dxa" w:w="60"/>
              <w:right w:type="dxa" w:w="100"/>
            </w:tcMar>
          </w:tcPr>
          <w:p>
            <w:pPr>
              <w:spacing w:after="0" w:before="0"/>
            </w:pPr>
            <w:r>
              <w:rPr>
                <w:b w:val="false"/>
                <w:bCs w:val="false"/>
                <w:i w:val="false"/>
                <w:iCs w:val="false"/>
              </w:rPr>
              <w:t xml:space="preserve">Change board</w:t>
            </w:r>
          </w:p>
        </w:tc>
      </w:tr>
      <w:tr>
        <w:tc>
          <w:tcPr>
            <w:tcW w:type="dxa" w:w="4087"/>
            <w:tcMar>
              <w:top w:type="dxa" w:w="60"/>
              <w:left w:type="dxa" w:w="100"/>
              <w:bottom w:type="dxa" w:w="60"/>
              <w:right w:type="dxa" w:w="100"/>
            </w:tcMar>
          </w:tcPr>
          <w:p>
            <w:pPr>
              <w:spacing w:after="0" w:before="0"/>
            </w:pPr>
            <w:r>
              <w:rPr>
                <w:b w:val="false"/>
                <w:bCs w:val="false"/>
                <w:i w:val="false"/>
                <w:iCs w:val="false"/>
              </w:rPr>
              <w:t xml:space="preserve">Emergency technical change</w:t>
            </w:r>
          </w:p>
        </w:tc>
        <w:tc>
          <w:tcPr>
            <w:tcW w:type="dxa" w:w="4933"/>
            <w:tcMar>
              <w:top w:type="dxa" w:w="60"/>
              <w:left w:type="dxa" w:w="100"/>
              <w:bottom w:type="dxa" w:w="60"/>
              <w:right w:type="dxa" w:w="100"/>
            </w:tcMar>
          </w:tcPr>
          <w:p>
            <w:pPr>
              <w:spacing w:after="0" w:before="0"/>
            </w:pPr>
            <w:r>
              <w:rPr>
                <w:b w:val="false"/>
                <w:bCs w:val="false"/>
                <w:i w:val="false"/>
                <w:iCs w:val="false"/>
              </w:rPr>
              <w:t xml:space="preserve">Incident manager or NRB ICT manager, and reviewed at the next change board</w:t>
            </w:r>
          </w:p>
        </w:tc>
      </w:tr>
      <w:tr>
        <w:tc>
          <w:tcPr>
            <w:tcW w:type="dxa" w:w="4087"/>
            <w:tcMar>
              <w:top w:type="dxa" w:w="60"/>
              <w:left w:type="dxa" w:w="100"/>
              <w:bottom w:type="dxa" w:w="60"/>
              <w:right w:type="dxa" w:w="100"/>
            </w:tcMar>
          </w:tcPr>
          <w:p>
            <w:pPr>
              <w:spacing w:after="0" w:before="0"/>
            </w:pPr>
            <w:r>
              <w:rPr>
                <w:b w:val="false"/>
                <w:bCs w:val="false"/>
                <w:i w:val="false"/>
                <w:iCs w:val="false"/>
              </w:rPr>
              <w:t xml:space="preserve">Change to scope, price or time</w:t>
            </w:r>
          </w:p>
        </w:tc>
        <w:tc>
          <w:tcPr>
            <w:tcW w:type="dxa" w:w="4933"/>
            <w:tcMar>
              <w:top w:type="dxa" w:w="60"/>
              <w:left w:type="dxa" w:w="100"/>
              <w:bottom w:type="dxa" w:w="60"/>
              <w:right w:type="dxa" w:w="100"/>
            </w:tcMar>
          </w:tcPr>
          <w:p>
            <w:pPr>
              <w:spacing w:after="0" w:before="0"/>
            </w:pPr>
            <w:r>
              <w:rPr>
                <w:b w:val="false"/>
                <w:bCs w:val="false"/>
                <w:i w:val="false"/>
                <w:iCs w:val="false"/>
              </w:rPr>
              <w:t xml:space="preserve">The Purchaser, by Change Order under GCC 39</w:t>
            </w:r>
          </w:p>
        </w:tc>
      </w:tr>
      <w:tr>
        <w:tc>
          <w:tcPr>
            <w:tcW w:type="dxa" w:w="4087"/>
            <w:tcMar>
              <w:top w:type="dxa" w:w="60"/>
              <w:left w:type="dxa" w:w="100"/>
              <w:bottom w:type="dxa" w:w="60"/>
              <w:right w:type="dxa" w:w="100"/>
            </w:tcMar>
          </w:tcPr>
          <w:p>
            <w:pPr>
              <w:spacing w:after="0" w:before="0"/>
            </w:pPr>
            <w:r>
              <w:rPr>
                <w:b w:val="false"/>
                <w:bCs w:val="false"/>
                <w:i w:val="false"/>
                <w:iCs w:val="false"/>
              </w:rPr>
              <w:t xml:space="preserve">Withdrawal of the existing card printers</w:t>
            </w:r>
          </w:p>
        </w:tc>
        <w:tc>
          <w:tcPr>
            <w:tcW w:type="dxa" w:w="4933"/>
            <w:tcMar>
              <w:top w:type="dxa" w:w="60"/>
              <w:left w:type="dxa" w:w="100"/>
              <w:bottom w:type="dxa" w:w="60"/>
              <w:right w:type="dxa" w:w="100"/>
            </w:tcMar>
          </w:tcPr>
          <w:p>
            <w:pPr>
              <w:spacing w:after="0" w:before="0"/>
            </w:pPr>
            <w:r>
              <w:rPr>
                <w:b w:val="false"/>
                <w:bCs w:val="false"/>
                <w:i w:val="false"/>
                <w:iCs w:val="false"/>
              </w:rPr>
              <w:t xml:space="preserve">NRB, after operational acceptance test 2</w:t>
            </w:r>
          </w:p>
        </w:tc>
      </w:tr>
    </w:tbl>
    <w:p>
      <w:pPr>
        <w:spacing w:after="140"/>
      </w:pPr>
    </w:p>
    <w:p>
      <w:pPr>
        <w:spacing w:after="140" w:line="276"/>
      </w:pPr>
      <w:r>
        <w:rPr>
          <w:b/>
          <w:bCs/>
          <w:i w:val="false"/>
          <w:iCs w:val="false"/>
        </w:rPr>
        <w:t xml:space="preserve">Separation of duties.</w:t>
      </w:r>
      <w:r>
        <w:rPr>
          <w:b w:val="false"/>
          <w:bCs w:val="false"/>
          <w:i w:val="false"/>
          <w:iCs w:val="false"/>
        </w:rPr>
        <w:t xml:space="preserve"> No one approves a change they requested or implement, developers do not deploy to production, and the operator who runs a job is not the supervisor who releases it.</w:t>
      </w:r>
    </w:p>
    <w:p>
      <w:pPr>
        <w:spacing w:after="140" w:line="276"/>
      </w:pPr>
      <w:r>
        <w:rPr>
          <w:b/>
          <w:bCs/>
          <w:i w:val="false"/>
          <w:iCs w:val="false"/>
        </w:rPr>
        <w:t xml:space="preserve">Reporting.</w:t>
      </w:r>
      <w:r>
        <w:rPr>
          <w:b w:val="false"/>
          <w:bCs w:val="false"/>
          <w:i w:val="false"/>
          <w:iCs w:val="false"/>
        </w:rPr>
        <w:t xml:space="preserve"> Change and readiness status is part of the Monthly Progress Report under GCC 19.5, including the actions expected from NRB in the next period. Training reports are issued under SCC 19.6(b), and the Change Order Log is kept with the progress reports. From handover, adoption issues and changes made in the period are reported in the monthly service report of Preliminary Project Plan Section 5.6. No other report is added.</w:t>
      </w:r>
    </w:p>
    <w:p>
      <w:r>
        <w:br w:type="page"/>
      </w:r>
    </w:p>
    <w:p>
      <w:r>
        <w:br w:type="page"/>
      </w:r>
    </w:p>
    <w:p>
      <w:pPr>
        <w:pStyle w:val="Heading1"/>
        <w:numPr>
          <w:ilvl w:val="0"/>
          <w:numId w:val="2"/>
        </w:numPr>
        <w:spacing w:after="140" w:before="240"/>
      </w:pPr>
      <w:r>
        <w:t xml:space="preserve">T</w:t>
      </w:r>
      <w:bookmarkStart w:name="sec_4" w:id="1"/>
      <w:r>
        <w:rPr>
          <w:b w:val="false"/>
          <w:bCs w:val="false"/>
          <w:i w:val="false"/>
          <w:iCs w:val="false"/>
        </w:rPr>
        <w:t xml:space="preserve">ransition and Readiness</w:t>
      </w:r>
      <w:bookmarkEnd w:id="1"/>
    </w:p>
    <w:p>
      <w:pPr>
        <w:pStyle w:val="Heading2"/>
        <w:numPr>
          <w:ilvl w:val="1"/>
          <w:numId w:val="2"/>
        </w:numPr>
        <w:spacing w:after="140" w:before="260"/>
      </w:pPr>
      <w:r>
        <w:t xml:space="preserve">T</w:t>
      </w:r>
      <w:bookmarkStart w:name="sec_4_1" w:id="1"/>
      <w:r>
        <w:rPr>
          <w:b w:val="false"/>
          <w:bCs w:val="false"/>
          <w:i w:val="false"/>
          <w:iCs w:val="false"/>
        </w:rPr>
        <w:t xml:space="preserve">ransition sequence</w:t>
      </w:r>
      <w:bookmarkEnd w:id="1"/>
    </w:p>
    <w:p>
      <w:pPr>
        <w:spacing w:after="140" w:line="276"/>
      </w:pPr>
      <w:r>
        <w:rPr>
          <w:b w:val="false"/>
          <w:bCs w:val="false"/>
          <w:i w:val="false"/>
          <w:iCs w:val="false"/>
        </w:rPr>
        <w:t xml:space="preserve">The change activities run within the ten phases and contractual milestones of Preliminary Project Plan Section 2.1, on the dates already set there. This plan adds no date of its own.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5680"/>
        <w:gridCol w:w="156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Phase and weeks</w:t>
            </w:r>
          </w:p>
        </w:tc>
        <w:tc>
          <w:tcPr>
            <w:tcW w:type="dxa" w:w="5680"/>
            <w:shd w:fill="EDEDED" w:val="clear"/>
            <w:tcMar>
              <w:top w:type="dxa" w:w="60"/>
              <w:left w:type="dxa" w:w="100"/>
              <w:bottom w:type="dxa" w:w="60"/>
              <w:right w:type="dxa" w:w="100"/>
            </w:tcMar>
          </w:tcPr>
          <w:p>
            <w:pPr>
              <w:spacing w:after="0" w:before="0"/>
            </w:pPr>
            <w:r>
              <w:rPr>
                <w:b/>
                <w:bCs/>
                <w:i w:val="false"/>
                <w:iCs w:val="false"/>
              </w:rPr>
              <w:t xml:space="preserve">Change activities</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Condition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Mobilization and planning, weeks 1 to 2</w:t>
            </w:r>
          </w:p>
        </w:tc>
        <w:tc>
          <w:tcPr>
            <w:tcW w:type="dxa" w:w="5680"/>
            <w:tcMar>
              <w:top w:type="dxa" w:w="60"/>
              <w:left w:type="dxa" w:w="100"/>
              <w:bottom w:type="dxa" w:w="60"/>
              <w:right w:type="dxa" w:w="100"/>
            </w:tcMar>
          </w:tcPr>
          <w:p>
            <w:pPr>
              <w:spacing w:after="0" w:before="0"/>
            </w:pPr>
            <w:r>
              <w:rPr>
                <w:b w:val="false"/>
                <w:bCs w:val="false"/>
                <w:i w:val="false"/>
                <w:iCs w:val="false"/>
              </w:rPr>
              <w:t xml:space="preserve">Plan baselined in the Project Initiation Document; recommended trainee numbers and prerequisites issued to NRB; discovery walkthroughs begin</w:t>
            </w:r>
          </w:p>
        </w:tc>
        <w:tc>
          <w:tcPr>
            <w:tcW w:type="dxa" w:w="1560"/>
            <w:tcMar>
              <w:top w:type="dxa" w:w="60"/>
              <w:left w:type="dxa" w:w="100"/>
              <w:bottom w:type="dxa" w:w="60"/>
              <w:right w:type="dxa" w:w="100"/>
            </w:tcMar>
          </w:tcPr>
          <w:p>
            <w:pPr>
              <w:spacing w:after="0" w:before="0"/>
            </w:pPr>
            <w:r>
              <w:rPr>
                <w:b w:val="false"/>
                <w:bCs w:val="false"/>
                <w:i w:val="false"/>
                <w:iCs w:val="false"/>
              </w:rPr>
              <w:t xml:space="preserve"/>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Design and detailed planning, weeks 3 to 6</w:t>
            </w:r>
          </w:p>
        </w:tc>
        <w:tc>
          <w:tcPr>
            <w:tcW w:type="dxa" w:w="5680"/>
            <w:tcMar>
              <w:top w:type="dxa" w:w="60"/>
              <w:left w:type="dxa" w:w="100"/>
              <w:bottom w:type="dxa" w:w="60"/>
              <w:right w:type="dxa" w:w="100"/>
            </w:tcMar>
          </w:tcPr>
          <w:p>
            <w:pPr>
              <w:spacing w:after="0" w:before="0"/>
            </w:pPr>
            <w:r>
              <w:rPr>
                <w:b w:val="false"/>
                <w:bCs w:val="false"/>
                <w:i w:val="false"/>
                <w:iCs w:val="false"/>
              </w:rPr>
              <w:t xml:space="preserve">Walkthroughs of current production and dispatch with the staff who perform them; Discovery Report in week 4; future-state processes, roles and draft procedures in week 5; design review with NRB</w:t>
            </w:r>
          </w:p>
        </w:tc>
        <w:tc>
          <w:tcPr>
            <w:tcW w:type="dxa" w:w="1560"/>
            <w:tcMar>
              <w:top w:type="dxa" w:w="60"/>
              <w:left w:type="dxa" w:w="100"/>
              <w:bottom w:type="dxa" w:w="60"/>
              <w:right w:type="dxa" w:w="100"/>
            </w:tcMar>
          </w:tcPr>
          <w:p>
            <w:pPr>
              <w:spacing w:after="0" w:before="0"/>
            </w:pPr>
            <w:r>
              <w:rPr>
                <w:b w:val="false"/>
                <w:bCs w:val="false"/>
                <w:i w:val="false"/>
                <w:iCs w:val="false"/>
              </w:rPr>
              <w:t xml:space="preserve">Detailed Design Approval: processes, roles and separation of duties approved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Procurement and manufacturing, weeks 7 to 16</w:t>
            </w:r>
          </w:p>
        </w:tc>
        <w:tc>
          <w:tcPr>
            <w:tcW w:type="dxa" w:w="5680"/>
            <w:tcMar>
              <w:top w:type="dxa" w:w="60"/>
              <w:left w:type="dxa" w:w="100"/>
              <w:bottom w:type="dxa" w:w="60"/>
              <w:right w:type="dxa" w:w="100"/>
            </w:tcMar>
          </w:tcPr>
          <w:p>
            <w:pPr>
              <w:spacing w:after="0" w:before="0"/>
            </w:pPr>
            <w:r>
              <w:rPr>
                <w:b w:val="false"/>
                <w:bCs w:val="false"/>
                <w:i w:val="false"/>
                <w:iCs w:val="false"/>
              </w:rPr>
              <w:t xml:space="preserve">Joint checkpoints with NRB developers every two weeks; factory acceptance delegation nominated by week 12; technical trainees nominated and shadowing from week 15</w:t>
            </w:r>
          </w:p>
        </w:tc>
        <w:tc>
          <w:tcPr>
            <w:tcW w:type="dxa" w:w="1560"/>
            <w:tcMar>
              <w:top w:type="dxa" w:w="60"/>
              <w:left w:type="dxa" w:w="100"/>
              <w:bottom w:type="dxa" w:w="60"/>
              <w:right w:type="dxa" w:w="100"/>
            </w:tcMar>
          </w:tcPr>
          <w:p>
            <w:pPr>
              <w:spacing w:after="0" w:before="0"/>
            </w:pPr>
            <w:r>
              <w:rPr>
                <w:b w:val="false"/>
                <w:bCs w:val="false"/>
                <w:i w:val="false"/>
                <w:iCs w:val="false"/>
              </w:rPr>
              <w:t xml:space="preserve"/>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Factory acceptance testing, week 17</w:t>
            </w:r>
          </w:p>
        </w:tc>
        <w:tc>
          <w:tcPr>
            <w:tcW w:type="dxa" w:w="5680"/>
            <w:tcMar>
              <w:top w:type="dxa" w:w="60"/>
              <w:left w:type="dxa" w:w="100"/>
              <w:bottom w:type="dxa" w:w="60"/>
              <w:right w:type="dxa" w:w="100"/>
            </w:tcMar>
          </w:tcPr>
          <w:p>
            <w:pPr>
              <w:spacing w:after="0" w:before="0"/>
            </w:pPr>
            <w:r>
              <w:rPr>
                <w:b w:val="false"/>
                <w:bCs w:val="false"/>
                <w:i w:val="false"/>
                <w:iCs w:val="false"/>
              </w:rPr>
              <w:t xml:space="preserve">Equipment training of the NRB delegation at the factory</w:t>
            </w:r>
          </w:p>
        </w:tc>
        <w:tc>
          <w:tcPr>
            <w:tcW w:type="dxa" w:w="1560"/>
            <w:tcMar>
              <w:top w:type="dxa" w:w="60"/>
              <w:left w:type="dxa" w:w="100"/>
              <w:bottom w:type="dxa" w:w="60"/>
              <w:right w:type="dxa" w:w="100"/>
            </w:tcMar>
          </w:tcPr>
          <w:p>
            <w:pPr>
              <w:spacing w:after="0" w:before="0"/>
            </w:pPr>
            <w:r>
              <w:rPr>
                <w:b w:val="false"/>
                <w:bCs w:val="false"/>
                <w:i w:val="false"/>
                <w:iCs w:val="false"/>
              </w:rPr>
              <w:t xml:space="preserve">Successful FAT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Installation and site acceptance testing, weeks 21 to 26, with the ICT from week 15</w:t>
            </w:r>
          </w:p>
        </w:tc>
        <w:tc>
          <w:tcPr>
            <w:tcW w:type="dxa" w:w="5680"/>
            <w:tcMar>
              <w:top w:type="dxa" w:w="60"/>
              <w:left w:type="dxa" w:w="100"/>
              <w:bottom w:type="dxa" w:w="60"/>
              <w:right w:type="dxa" w:w="100"/>
            </w:tcMar>
          </w:tcPr>
          <w:p>
            <w:pPr>
              <w:spacing w:after="0" w:before="0"/>
            </w:pPr>
            <w:r>
              <w:rPr>
                <w:b w:val="false"/>
                <w:bCs w:val="false"/>
                <w:i w:val="false"/>
                <w:iCs w:val="false"/>
              </w:rPr>
              <w:t xml:space="preserve">User trainees nominated by week 20; procedures, manuals and training materials issued in week 24; user acceptance testing with NRIS stakeholders in weeks 24 and 25; pilot production run by the trainees in week 26, its cards not issued</w:t>
            </w:r>
          </w:p>
        </w:tc>
        <w:tc>
          <w:tcPr>
            <w:tcW w:type="dxa" w:w="1560"/>
            <w:tcMar>
              <w:top w:type="dxa" w:w="60"/>
              <w:left w:type="dxa" w:w="100"/>
              <w:bottom w:type="dxa" w:w="60"/>
              <w:right w:type="dxa" w:w="100"/>
            </w:tcMar>
          </w:tcPr>
          <w:p>
            <w:pPr>
              <w:spacing w:after="0" w:before="0"/>
            </w:pPr>
            <w:r>
              <w:rPr>
                <w:b w:val="false"/>
                <w:bCs w:val="false"/>
                <w:i w:val="false"/>
                <w:iCs w:val="false"/>
              </w:rPr>
              <w:t xml:space="preserve">Installation and SAT: the readiness gate in </w:t>
            </w:r>
            <w:r>
              <w:rPr>
                <w:b w:val="false"/>
                <w:bCs w:val="false"/>
                <w:i w:val="false"/>
                <w:iCs w:val="false"/>
              </w:rPr>
              <w:t xml:space="preserve">Section </w:t>
            </w:r>
            <w:fldSimple w:instr="REF sec_4_2 \w \h">
              <w:r>
                <w:t xml:space="preserve">4.2</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Training and knowledge transfer, weeks 25 to 28</w:t>
            </w:r>
          </w:p>
        </w:tc>
        <w:tc>
          <w:tcPr>
            <w:tcW w:type="dxa" w:w="5680"/>
            <w:tcMar>
              <w:top w:type="dxa" w:w="60"/>
              <w:left w:type="dxa" w:w="100"/>
              <w:bottom w:type="dxa" w:w="60"/>
              <w:right w:type="dxa" w:w="100"/>
            </w:tcMar>
          </w:tcPr>
          <w:p>
            <w:pPr>
              <w:spacing w:after="0" w:before="0"/>
            </w:pPr>
            <w:r>
              <w:rPr>
                <w:b w:val="false"/>
                <w:bCs w:val="false"/>
                <w:i w:val="false"/>
                <w:iCs w:val="false"/>
              </w:rPr>
              <w:t xml:space="preserve">User training groups in weeks 25 and 26; management training in week 26; technical training in weeks 26 and 27; cover group trained by NRB trainers in weeks 27 and 28</w:t>
            </w:r>
          </w:p>
        </w:tc>
        <w:tc>
          <w:tcPr>
            <w:tcW w:type="dxa" w:w="1560"/>
            <w:tcMar>
              <w:top w:type="dxa" w:w="60"/>
              <w:left w:type="dxa" w:w="100"/>
              <w:bottom w:type="dxa" w:w="60"/>
              <w:right w:type="dxa" w:w="100"/>
            </w:tcMar>
          </w:tcPr>
          <w:p>
            <w:pPr>
              <w:spacing w:after="0" w:before="0"/>
            </w:pPr>
            <w:r>
              <w:rPr>
                <w:b w:val="false"/>
                <w:bCs w:val="false"/>
                <w:i w:val="false"/>
                <w:iCs w:val="false"/>
              </w:rPr>
              <w:t xml:space="preserve">Training completed: competence matrix delivered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Commissioning, weeks 27 to 30</w:t>
            </w:r>
          </w:p>
        </w:tc>
        <w:tc>
          <w:tcPr>
            <w:tcW w:type="dxa" w:w="5680"/>
            <w:tcMar>
              <w:top w:type="dxa" w:w="60"/>
              <w:left w:type="dxa" w:w="100"/>
              <w:bottom w:type="dxa" w:w="60"/>
              <w:right w:type="dxa" w:w="100"/>
            </w:tcMar>
          </w:tcPr>
          <w:p>
            <w:pPr>
              <w:spacing w:after="0" w:before="0"/>
            </w:pPr>
            <w:r>
              <w:rPr>
                <w:b w:val="false"/>
                <w:bCs w:val="false"/>
                <w:i w:val="false"/>
                <w:iCs w:val="false"/>
              </w:rPr>
              <w:t xml:space="preserve">Live production begins with the operational acceptance tests, on NRB's cutover decision for each request type; coaching in production; operational independence in week 28; final acceptance demonstration in weeks 29 and 30</w:t>
            </w:r>
          </w:p>
        </w:tc>
        <w:tc>
          <w:tcPr>
            <w:tcW w:type="dxa" w:w="1560"/>
            <w:tcMar>
              <w:top w:type="dxa" w:w="60"/>
              <w:left w:type="dxa" w:w="100"/>
              <w:bottom w:type="dxa" w:w="60"/>
              <w:right w:type="dxa" w:w="100"/>
            </w:tcMar>
          </w:tcPr>
          <w:p>
            <w:pPr>
              <w:spacing w:after="0" w:before="0"/>
            </w:pPr>
            <w:r>
              <w:rPr>
                <w:b w:val="false"/>
                <w:bCs w:val="false"/>
                <w:i w:val="false"/>
                <w:iCs w:val="false"/>
              </w:rPr>
              <w:t xml:space="preserve">System commissioned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Handover and go-live, weeks 31 to 32</w:t>
            </w:r>
          </w:p>
        </w:tc>
        <w:tc>
          <w:tcPr>
            <w:tcW w:type="dxa" w:w="5680"/>
            <w:tcMar>
              <w:top w:type="dxa" w:w="60"/>
              <w:left w:type="dxa" w:w="100"/>
              <w:bottom w:type="dxa" w:w="60"/>
              <w:right w:type="dxa" w:w="100"/>
            </w:tcMar>
          </w:tcPr>
          <w:p>
            <w:pPr>
              <w:spacing w:after="0" w:before="0"/>
            </w:pPr>
            <w:r>
              <w:rPr>
                <w:b w:val="false"/>
                <w:bCs w:val="false"/>
                <w:i w:val="false"/>
                <w:iCs w:val="false"/>
              </w:rPr>
              <w:t xml:space="preserve">Stabilization with resident engineers on every shift and a daily review with NRB; process ownership and change control transferred to NRB</w:t>
            </w:r>
          </w:p>
        </w:tc>
        <w:tc>
          <w:tcPr>
            <w:tcW w:type="dxa" w:w="1560"/>
            <w:tcMar>
              <w:top w:type="dxa" w:w="60"/>
              <w:left w:type="dxa" w:w="100"/>
              <w:bottom w:type="dxa" w:w="60"/>
              <w:right w:type="dxa" w:w="100"/>
            </w:tcMar>
          </w:tcPr>
          <w:p>
            <w:pPr>
              <w:spacing w:after="0" w:before="0"/>
            </w:pPr>
            <w:r>
              <w:rPr>
                <w:b w:val="false"/>
                <w:bCs w:val="false"/>
                <w:i w:val="false"/>
                <w:iCs w:val="false"/>
              </w:rPr>
              <w:t xml:space="preserve">Full handover and go-live</w:t>
            </w:r>
          </w:p>
        </w:tc>
      </w:tr>
    </w:tbl>
    <w:p>
      <w:pPr>
        <w:spacing w:after="140"/>
      </w:pPr>
    </w:p>
    <w:p>
      <w:pPr>
        <w:spacing w:after="140" w:line="276"/>
      </w:pPr>
      <w:r>
        <w:rPr>
          <w:b w:val="false"/>
          <w:bCs w:val="false"/>
          <w:i w:val="false"/>
          <w:iCs w:val="false"/>
        </w:rPr>
        <w:t xml:space="preserve">The resources for each activity are the roles in </w:t>
      </w:r>
      <w:r>
        <w:rPr>
          <w:b w:val="false"/>
          <w:bCs w:val="false"/>
          <w:i w:val="false"/>
          <w:iCs w:val="false"/>
        </w:rPr>
        <w:t xml:space="preserve">Section </w:t>
      </w:r>
      <w:fldSimple w:instr="REF sec_6_1 \w \h">
        <w:r>
          <w:t xml:space="preserve">6.1</w:t>
        </w:r>
      </w:fldSimple>
      <w:r>
        <w:rPr>
          <w:b w:val="false"/>
          <w:bCs w:val="false"/>
          <w:i w:val="false"/>
          <w:iCs w:val="false"/>
        </w:rPr>
        <w:t xml:space="preserve"> and the NRB staff in </w:t>
      </w:r>
      <w:r>
        <w:rPr>
          <w:b w:val="false"/>
          <w:bCs w:val="false"/>
          <w:i w:val="false"/>
          <w:iCs w:val="false"/>
        </w:rPr>
        <w:t xml:space="preserve">Section </w:t>
      </w:r>
      <w:fldSimple w:instr="REF sec_2_2 \w \h">
        <w:r>
          <w:t xml:space="preserve">2.2</w:t>
        </w:r>
      </w:fldSimple>
      <w:r>
        <w:rPr>
          <w:b w:val="false"/>
          <w:bCs w:val="false"/>
          <w:i w:val="false"/>
          <w:iCs w:val="false"/>
        </w:rPr>
        <w:t xml:space="preserve">. The schedule is the one shown in Preliminary Project Plan Section 2.2.</w:t>
      </w:r>
    </w:p>
    <w:p>
      <w:pPr>
        <w:pStyle w:val="Heading2"/>
        <w:numPr>
          <w:ilvl w:val="1"/>
          <w:numId w:val="2"/>
        </w:numPr>
        <w:spacing w:after="140" w:before="260"/>
      </w:pPr>
      <w:r>
        <w:t xml:space="preserve">R</w:t>
      </w:r>
      <w:bookmarkStart w:name="sec_4_2" w:id="1"/>
      <w:r>
        <w:rPr>
          <w:b w:val="false"/>
          <w:bCs w:val="false"/>
          <w:i w:val="false"/>
          <w:iCs w:val="false"/>
        </w:rPr>
        <w:t xml:space="preserve">eadiness gates and fallback</w:t>
      </w:r>
      <w:bookmarkEnd w:id="1"/>
    </w:p>
    <w:p>
      <w:pPr>
        <w:spacing w:after="140" w:line="276"/>
      </w:pPr>
      <w:r>
        <w:rPr>
          <w:b w:val="false"/>
          <w:bCs w:val="false"/>
          <w:i w:val="false"/>
          <w:iCs w:val="false"/>
        </w:rPr>
        <w:t xml:space="preserve">People and process readiness is checked at the gates the project already has, and each gate has a defined outcome if readiness is not met.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4"/>
        <w:gridCol w:w="3942"/>
        <w:gridCol w:w="3174"/>
      </w:tblGrid>
      <w:tr>
        <w:trPr>
          <w:tblHeader/>
        </w:trPr>
        <w:tc>
          <w:tcPr>
            <w:tcW w:type="dxa" w:w="1904"/>
            <w:shd w:fill="EDEDED" w:val="clear"/>
            <w:tcMar>
              <w:top w:type="dxa" w:w="60"/>
              <w:left w:type="dxa" w:w="100"/>
              <w:bottom w:type="dxa" w:w="60"/>
              <w:right w:type="dxa" w:w="100"/>
            </w:tcMar>
          </w:tcPr>
          <w:p>
            <w:pPr>
              <w:spacing w:after="0" w:before="0"/>
            </w:pPr>
            <w:r>
              <w:rPr>
                <w:b/>
                <w:bCs/>
                <w:i w:val="false"/>
                <w:iCs w:val="false"/>
              </w:rPr>
              <w:t xml:space="preserve">Gate and week</w:t>
            </w:r>
          </w:p>
        </w:tc>
        <w:tc>
          <w:tcPr>
            <w:tcW w:type="dxa" w:w="3942"/>
            <w:shd w:fill="EDEDED" w:val="clear"/>
            <w:tcMar>
              <w:top w:type="dxa" w:w="60"/>
              <w:left w:type="dxa" w:w="100"/>
              <w:bottom w:type="dxa" w:w="60"/>
              <w:right w:type="dxa" w:w="100"/>
            </w:tcMar>
          </w:tcPr>
          <w:p>
            <w:pPr>
              <w:spacing w:after="0" w:before="0"/>
            </w:pPr>
            <w:r>
              <w:rPr>
                <w:b/>
                <w:bCs/>
                <w:i w:val="false"/>
                <w:iCs w:val="false"/>
              </w:rPr>
              <w:t xml:space="preserve">Readiness required</w:t>
            </w:r>
          </w:p>
        </w:tc>
        <w:tc>
          <w:tcPr>
            <w:tcW w:type="dxa" w:w="3174"/>
            <w:shd w:fill="EDEDED" w:val="clear"/>
            <w:tcMar>
              <w:top w:type="dxa" w:w="60"/>
              <w:left w:type="dxa" w:w="100"/>
              <w:bottom w:type="dxa" w:w="60"/>
              <w:right w:type="dxa" w:w="100"/>
            </w:tcMar>
          </w:tcPr>
          <w:p>
            <w:pPr>
              <w:spacing w:after="0" w:before="0"/>
            </w:pPr>
            <w:r>
              <w:rPr>
                <w:b/>
                <w:bCs/>
                <w:i w:val="false"/>
                <w:iCs w:val="false"/>
              </w:rPr>
              <w:t xml:space="preserve">If not met</w:t>
            </w:r>
          </w:p>
        </w:tc>
      </w:tr>
      <w:tr>
        <w:tc>
          <w:tcPr>
            <w:tcW w:type="dxa" w:w="1904"/>
            <w:tcMar>
              <w:top w:type="dxa" w:w="60"/>
              <w:left w:type="dxa" w:w="100"/>
              <w:bottom w:type="dxa" w:w="60"/>
              <w:right w:type="dxa" w:w="100"/>
            </w:tcMar>
          </w:tcPr>
          <w:p>
            <w:pPr>
              <w:spacing w:after="0" w:before="0"/>
            </w:pPr>
            <w:r>
              <w:rPr>
                <w:b w:val="false"/>
                <w:bCs w:val="false"/>
                <w:i w:val="false"/>
                <w:iCs w:val="false"/>
              </w:rPr>
              <w:t xml:space="preserve">Detailed Design Approval, week 6</w:t>
            </w:r>
          </w:p>
        </w:tc>
        <w:tc>
          <w:tcPr>
            <w:tcW w:type="dxa" w:w="3942"/>
            <w:tcMar>
              <w:top w:type="dxa" w:w="60"/>
              <w:left w:type="dxa" w:w="100"/>
              <w:bottom w:type="dxa" w:w="60"/>
              <w:right w:type="dxa" w:w="100"/>
            </w:tcMar>
          </w:tcPr>
          <w:p>
            <w:pPr>
              <w:spacing w:after="0" w:before="0"/>
            </w:pPr>
            <w:r>
              <w:rPr>
                <w:b w:val="false"/>
                <w:bCs w:val="false"/>
                <w:i w:val="false"/>
                <w:iCs w:val="false"/>
              </w:rPr>
              <w:t xml:space="preserve">Future-state processes, roles and separation of duties approved</w:t>
            </w:r>
          </w:p>
        </w:tc>
        <w:tc>
          <w:tcPr>
            <w:tcW w:type="dxa" w:w="3174"/>
            <w:tcMar>
              <w:top w:type="dxa" w:w="60"/>
              <w:left w:type="dxa" w:w="100"/>
              <w:bottom w:type="dxa" w:w="60"/>
              <w:right w:type="dxa" w:w="100"/>
            </w:tcMar>
          </w:tcPr>
          <w:p>
            <w:pPr>
              <w:spacing w:after="0" w:before="0"/>
            </w:pPr>
            <w:r>
              <w:rPr>
                <w:b w:val="false"/>
                <w:bCs w:val="false"/>
                <w:i w:val="false"/>
                <w:iCs w:val="false"/>
              </w:rPr>
              <w:t xml:space="preserve">Corrected before approval, not carried into the build</w:t>
            </w:r>
          </w:p>
        </w:tc>
      </w:tr>
      <w:tr>
        <w:tc>
          <w:tcPr>
            <w:tcW w:type="dxa" w:w="1904"/>
            <w:tcMar>
              <w:top w:type="dxa" w:w="60"/>
              <w:left w:type="dxa" w:w="100"/>
              <w:bottom w:type="dxa" w:w="60"/>
              <w:right w:type="dxa" w:w="100"/>
            </w:tcMar>
          </w:tcPr>
          <w:p>
            <w:pPr>
              <w:spacing w:after="0" w:before="0"/>
            </w:pPr>
            <w:r>
              <w:rPr>
                <w:b w:val="false"/>
                <w:bCs w:val="false"/>
                <w:i w:val="false"/>
                <w:iCs w:val="false"/>
              </w:rPr>
              <w:t xml:space="preserve">Successful FAT, week 17</w:t>
            </w:r>
          </w:p>
        </w:tc>
        <w:tc>
          <w:tcPr>
            <w:tcW w:type="dxa" w:w="3942"/>
            <w:tcMar>
              <w:top w:type="dxa" w:w="60"/>
              <w:left w:type="dxa" w:w="100"/>
              <w:bottom w:type="dxa" w:w="60"/>
              <w:right w:type="dxa" w:w="100"/>
            </w:tcMar>
          </w:tcPr>
          <w:p>
            <w:pPr>
              <w:spacing w:after="0" w:before="0"/>
            </w:pPr>
            <w:r>
              <w:rPr>
                <w:b w:val="false"/>
                <w:bCs w:val="false"/>
                <w:i w:val="false"/>
                <w:iCs w:val="false"/>
              </w:rPr>
              <w:t xml:space="preserve">NRB delegation trained on the equipment</w:t>
            </w:r>
          </w:p>
        </w:tc>
        <w:tc>
          <w:tcPr>
            <w:tcW w:type="dxa" w:w="3174"/>
            <w:tcMar>
              <w:top w:type="dxa" w:w="60"/>
              <w:left w:type="dxa" w:w="100"/>
              <w:bottom w:type="dxa" w:w="60"/>
              <w:right w:type="dxa" w:w="100"/>
            </w:tcMar>
          </w:tcPr>
          <w:p>
            <w:pPr>
              <w:spacing w:after="0" w:before="0"/>
            </w:pPr>
            <w:r>
              <w:rPr>
                <w:b w:val="false"/>
                <w:bCs w:val="false"/>
                <w:i w:val="false"/>
                <w:iCs w:val="false"/>
              </w:rPr>
              <w:t xml:space="preserve">Equipment training completed on site during installation</w:t>
            </w:r>
          </w:p>
        </w:tc>
      </w:tr>
      <w:tr>
        <w:tc>
          <w:tcPr>
            <w:tcW w:type="dxa" w:w="1904"/>
            <w:tcMar>
              <w:top w:type="dxa" w:w="60"/>
              <w:left w:type="dxa" w:w="100"/>
              <w:bottom w:type="dxa" w:w="60"/>
              <w:right w:type="dxa" w:w="100"/>
            </w:tcMar>
          </w:tcPr>
          <w:p>
            <w:pPr>
              <w:spacing w:after="0" w:before="0"/>
            </w:pPr>
            <w:r>
              <w:rPr>
                <w:b w:val="false"/>
                <w:bCs w:val="false"/>
                <w:i w:val="false"/>
                <w:iCs w:val="false"/>
              </w:rPr>
              <w:t xml:space="preserve">Installation and SAT, week 26</w:t>
            </w:r>
          </w:p>
        </w:tc>
        <w:tc>
          <w:tcPr>
            <w:tcW w:type="dxa" w:w="3942"/>
            <w:tcMar>
              <w:top w:type="dxa" w:w="60"/>
              <w:left w:type="dxa" w:w="100"/>
              <w:bottom w:type="dxa" w:w="60"/>
              <w:right w:type="dxa" w:w="100"/>
            </w:tcMar>
          </w:tcPr>
          <w:p>
            <w:pPr>
              <w:spacing w:after="0" w:before="0"/>
            </w:pPr>
            <w:r>
              <w:rPr>
                <w:b w:val="false"/>
                <w:bCs w:val="false"/>
                <w:i w:val="false"/>
                <w:iCs w:val="false"/>
              </w:rPr>
              <w:t xml:space="preserve">Procedures issued; pilot production passes pre-commissioning test 15; both shifts staffed by trainees</w:t>
            </w:r>
          </w:p>
        </w:tc>
        <w:tc>
          <w:tcPr>
            <w:tcW w:type="dxa" w:w="3174"/>
            <w:tcMar>
              <w:top w:type="dxa" w:w="60"/>
              <w:left w:type="dxa" w:w="100"/>
              <w:bottom w:type="dxa" w:w="60"/>
              <w:right w:type="dxa" w:w="100"/>
            </w:tcMar>
          </w:tcPr>
          <w:p>
            <w:pPr>
              <w:spacing w:after="0" w:before="0"/>
            </w:pPr>
            <w:r>
              <w:rPr>
                <w:b w:val="false"/>
                <w:bCs w:val="false"/>
                <w:i w:val="false"/>
                <w:iCs w:val="false"/>
              </w:rPr>
              <w:t xml:space="preserve">Live production does not start. Requests stay in NRIS and the existing printers continue</w:t>
            </w:r>
          </w:p>
        </w:tc>
      </w:tr>
      <w:tr>
        <w:tc>
          <w:tcPr>
            <w:tcW w:type="dxa" w:w="1904"/>
            <w:tcMar>
              <w:top w:type="dxa" w:w="60"/>
              <w:left w:type="dxa" w:w="100"/>
              <w:bottom w:type="dxa" w:w="60"/>
              <w:right w:type="dxa" w:w="100"/>
            </w:tcMar>
          </w:tcPr>
          <w:p>
            <w:pPr>
              <w:spacing w:after="0" w:before="0"/>
            </w:pPr>
            <w:r>
              <w:rPr>
                <w:b w:val="false"/>
                <w:bCs w:val="false"/>
                <w:i w:val="false"/>
                <w:iCs w:val="false"/>
              </w:rPr>
              <w:t xml:space="preserve">Start of live production, week 27</w:t>
            </w:r>
          </w:p>
        </w:tc>
        <w:tc>
          <w:tcPr>
            <w:tcW w:type="dxa" w:w="3942"/>
            <w:tcMar>
              <w:top w:type="dxa" w:w="60"/>
              <w:left w:type="dxa" w:w="100"/>
              <w:bottom w:type="dxa" w:w="60"/>
              <w:right w:type="dxa" w:w="100"/>
            </w:tcMar>
          </w:tcPr>
          <w:p>
            <w:pPr>
              <w:spacing w:after="0" w:before="0"/>
            </w:pPr>
            <w:r>
              <w:rPr>
                <w:b w:val="false"/>
                <w:bCs w:val="false"/>
                <w:i w:val="false"/>
                <w:iCs w:val="false"/>
              </w:rPr>
              <w:t xml:space="preserve">NRB's cutover decision for each request type</w:t>
            </w:r>
          </w:p>
        </w:tc>
        <w:tc>
          <w:tcPr>
            <w:tcW w:type="dxa" w:w="3174"/>
            <w:tcMar>
              <w:top w:type="dxa" w:w="60"/>
              <w:left w:type="dxa" w:w="100"/>
              <w:bottom w:type="dxa" w:w="60"/>
              <w:right w:type="dxa" w:w="100"/>
            </w:tcMar>
          </w:tcPr>
          <w:p>
            <w:pPr>
              <w:spacing w:after="0" w:before="0"/>
            </w:pPr>
            <w:r>
              <w:rPr>
                <w:b w:val="false"/>
                <w:bCs w:val="false"/>
                <w:i w:val="false"/>
                <w:iCs w:val="false"/>
              </w:rPr>
              <w:t xml:space="preserve">That request type stays on the existing printers</w:t>
            </w:r>
          </w:p>
        </w:tc>
      </w:tr>
      <w:tr>
        <w:tc>
          <w:tcPr>
            <w:tcW w:type="dxa" w:w="1904"/>
            <w:tcMar>
              <w:top w:type="dxa" w:w="60"/>
              <w:left w:type="dxa" w:w="100"/>
              <w:bottom w:type="dxa" w:w="60"/>
              <w:right w:type="dxa" w:w="100"/>
            </w:tcMar>
          </w:tcPr>
          <w:p>
            <w:pPr>
              <w:spacing w:after="0" w:before="0"/>
            </w:pPr>
            <w:r>
              <w:rPr>
                <w:b w:val="false"/>
                <w:bCs w:val="false"/>
                <w:i w:val="false"/>
                <w:iCs w:val="false"/>
              </w:rPr>
              <w:t xml:space="preserve">Operational independence, week 28</w:t>
            </w:r>
          </w:p>
        </w:tc>
        <w:tc>
          <w:tcPr>
            <w:tcW w:type="dxa" w:w="3942"/>
            <w:tcMar>
              <w:top w:type="dxa" w:w="60"/>
              <w:left w:type="dxa" w:w="100"/>
              <w:bottom w:type="dxa" w:w="60"/>
              <w:right w:type="dxa" w:w="100"/>
            </w:tcMar>
          </w:tcPr>
          <w:p>
            <w:pPr>
              <w:spacing w:after="0" w:before="0"/>
            </w:pPr>
            <w:r>
              <w:rPr>
                <w:b w:val="false"/>
                <w:bCs w:val="false"/>
                <w:i w:val="false"/>
                <w:iCs w:val="false"/>
              </w:rPr>
              <w:t xml:space="preserve">Operational acceptance tests 13 and 16 passed</w:t>
            </w:r>
          </w:p>
        </w:tc>
        <w:tc>
          <w:tcPr>
            <w:tcW w:type="dxa" w:w="3174"/>
            <w:tcMar>
              <w:top w:type="dxa" w:w="60"/>
              <w:left w:type="dxa" w:w="100"/>
              <w:bottom w:type="dxa" w:w="60"/>
              <w:right w:type="dxa" w:w="100"/>
            </w:tcMar>
          </w:tcPr>
          <w:p>
            <w:pPr>
              <w:spacing w:after="0" w:before="0"/>
            </w:pPr>
            <w:r>
              <w:rPr>
                <w:b w:val="false"/>
                <w:bCs w:val="false"/>
                <w:i w:val="false"/>
                <w:iCs w:val="false"/>
              </w:rPr>
              <w:t xml:space="preserve">Tasks retrained and the tests repeated before the final demonstration</w:t>
            </w:r>
          </w:p>
        </w:tc>
      </w:tr>
      <w:tr>
        <w:tc>
          <w:tcPr>
            <w:tcW w:type="dxa" w:w="1904"/>
            <w:tcMar>
              <w:top w:type="dxa" w:w="60"/>
              <w:left w:type="dxa" w:w="100"/>
              <w:bottom w:type="dxa" w:w="60"/>
              <w:right w:type="dxa" w:w="100"/>
            </w:tcMar>
          </w:tcPr>
          <w:p>
            <w:pPr>
              <w:spacing w:after="0" w:before="0"/>
            </w:pPr>
            <w:r>
              <w:rPr>
                <w:b w:val="false"/>
                <w:bCs w:val="false"/>
                <w:i w:val="false"/>
                <w:iCs w:val="false"/>
              </w:rPr>
              <w:t xml:space="preserve">System commissioned, week 30</w:t>
            </w:r>
          </w:p>
        </w:tc>
        <w:tc>
          <w:tcPr>
            <w:tcW w:type="dxa" w:w="3942"/>
            <w:tcMar>
              <w:top w:type="dxa" w:w="60"/>
              <w:left w:type="dxa" w:w="100"/>
              <w:bottom w:type="dxa" w:w="60"/>
              <w:right w:type="dxa" w:w="100"/>
            </w:tcMar>
          </w:tcPr>
          <w:p>
            <w:pPr>
              <w:spacing w:after="0" w:before="0"/>
            </w:pPr>
            <w:r>
              <w:rPr>
                <w:b w:val="false"/>
                <w:bCs w:val="false"/>
                <w:i w:val="false"/>
                <w:iCs w:val="false"/>
              </w:rPr>
              <w:t xml:space="preserve">Final acceptance demonstration passed; manuals proven usable</w:t>
            </w:r>
          </w:p>
        </w:tc>
        <w:tc>
          <w:tcPr>
            <w:tcW w:type="dxa" w:w="3174"/>
            <w:tcMar>
              <w:top w:type="dxa" w:w="60"/>
              <w:left w:type="dxa" w:w="100"/>
              <w:bottom w:type="dxa" w:w="60"/>
              <w:right w:type="dxa" w:w="100"/>
            </w:tcMar>
          </w:tcPr>
          <w:p>
            <w:pPr>
              <w:spacing w:after="0" w:before="0"/>
            </w:pPr>
            <w:r>
              <w:rPr>
                <w:b w:val="false"/>
                <w:bCs w:val="false"/>
                <w:i w:val="false"/>
                <w:iCs w:val="false"/>
              </w:rPr>
              <w:t xml:space="preserve">Corrected and the test repeated</w:t>
            </w:r>
          </w:p>
        </w:tc>
      </w:tr>
      <w:tr>
        <w:tc>
          <w:tcPr>
            <w:tcW w:type="dxa" w:w="1904"/>
            <w:tcMar>
              <w:top w:type="dxa" w:w="60"/>
              <w:left w:type="dxa" w:w="100"/>
              <w:bottom w:type="dxa" w:w="60"/>
              <w:right w:type="dxa" w:w="100"/>
            </w:tcMar>
          </w:tcPr>
          <w:p>
            <w:pPr>
              <w:spacing w:after="0" w:before="0"/>
            </w:pPr>
            <w:r>
              <w:rPr>
                <w:b w:val="false"/>
                <w:bCs w:val="false"/>
                <w:i w:val="false"/>
                <w:iCs w:val="false"/>
              </w:rPr>
              <w:t xml:space="preserve">Full handover, week 32</w:t>
            </w:r>
          </w:p>
        </w:tc>
        <w:tc>
          <w:tcPr>
            <w:tcW w:type="dxa" w:w="3942"/>
            <w:tcMar>
              <w:top w:type="dxa" w:w="60"/>
              <w:left w:type="dxa" w:w="100"/>
              <w:bottom w:type="dxa" w:w="60"/>
              <w:right w:type="dxa" w:w="100"/>
            </w:tcMar>
          </w:tcPr>
          <w:p>
            <w:pPr>
              <w:spacing w:after="0" w:before="0"/>
            </w:pPr>
            <w:r>
              <w:rPr>
                <w:b w:val="false"/>
                <w:bCs w:val="false"/>
                <w:i w:val="false"/>
                <w:iCs w:val="false"/>
              </w:rPr>
              <w:t xml:space="preserve">NRB holds process ownership and the change-control roles in </w:t>
            </w:r>
            <w:r>
              <w:rPr>
                <w:b w:val="false"/>
                <w:bCs w:val="false"/>
                <w:i w:val="false"/>
                <w:iCs w:val="false"/>
              </w:rPr>
              <w:t xml:space="preserve">Section </w:t>
            </w:r>
            <w:fldSimple w:instr="REF sec_3_1 \w \h">
              <w:r>
                <w:t xml:space="preserve">3.1</w:t>
              </w:r>
            </w:fldSimple>
          </w:p>
        </w:tc>
        <w:tc>
          <w:tcPr>
            <w:tcW w:type="dxa" w:w="3174"/>
            <w:tcMar>
              <w:top w:type="dxa" w:w="60"/>
              <w:left w:type="dxa" w:w="100"/>
              <w:bottom w:type="dxa" w:w="60"/>
              <w:right w:type="dxa" w:w="100"/>
            </w:tcMar>
          </w:tcPr>
          <w:p>
            <w:pPr>
              <w:spacing w:after="0" w:before="0"/>
            </w:pPr>
            <w:r>
              <w:rPr>
                <w:b w:val="false"/>
                <w:bCs w:val="false"/>
                <w:i w:val="false"/>
                <w:iCs w:val="false"/>
              </w:rPr>
              <w:t xml:space="preserve"/>
            </w:r>
          </w:p>
        </w:tc>
      </w:tr>
    </w:tbl>
    <w:p>
      <w:pPr>
        <w:spacing w:after="140"/>
      </w:pPr>
    </w:p>
    <w:p>
      <w:pPr>
        <w:spacing w:after="140" w:line="276"/>
      </w:pPr>
      <w:r>
        <w:rPr>
          <w:b/>
          <w:bCs/>
          <w:i w:val="false"/>
          <w:iCs w:val="false"/>
        </w:rPr>
        <w:t xml:space="preserve">Fallback.</w:t>
      </w:r>
      <w:r>
        <w:rPr>
          <w:b w:val="false"/>
          <w:bCs w:val="false"/>
          <w:i w:val="false"/>
          <w:iCs w:val="false"/>
        </w:rPr>
        <w:t xml:space="preserve"> Issuance does not depend on the new facility until it is proven. A request is produced by one facility only, the existing printers remain available until operational acceptance test 2 has passed, and a request not yet produced stays in NRIS, so a pause delays cards without losing them. These arrangements are set out in Preliminary Project Plan Section 2.6.</w:t>
      </w:r>
    </w:p>
    <w:p>
      <w:pPr>
        <w:pStyle w:val="Heading2"/>
        <w:numPr>
          <w:ilvl w:val="1"/>
          <w:numId w:val="2"/>
        </w:numPr>
        <w:spacing w:after="140" w:before="260"/>
      </w:pPr>
      <w:r>
        <w:t xml:space="preserve">F</w:t>
      </w:r>
      <w:bookmarkStart w:name="sec_4_3" w:id="1"/>
      <w:r>
        <w:rPr>
          <w:b w:val="false"/>
          <w:bCs w:val="false"/>
          <w:i w:val="false"/>
          <w:iCs w:val="false"/>
        </w:rPr>
        <w:t xml:space="preserve">easibility and transition risks</w:t>
      </w:r>
      <w:bookmarkEnd w:id="1"/>
    </w:p>
    <w:p>
      <w:pPr>
        <w:spacing w:after="140" w:line="276"/>
      </w:pPr>
      <w:r>
        <w:rPr>
          <w:b/>
          <w:bCs/>
          <w:i w:val="false"/>
          <w:iCs w:val="false"/>
        </w:rPr>
        <w:t xml:space="preserve">Why the transition is feasible.</w:t>
      </w:r>
    </w:p>
    <w:p>
      <w:pPr>
        <w:pStyle w:val="ListParagraph"/>
        <w:numPr>
          <w:ilvl w:val="0"/>
          <w:numId w:val="1"/>
        </w:numPr>
        <w:spacing w:after="60"/>
      </w:pPr>
      <w:r>
        <w:rPr>
          <w:b w:val="false"/>
          <w:bCs w:val="false"/>
          <w:i w:val="false"/>
          <w:iCs w:val="false"/>
        </w:rPr>
        <w:t xml:space="preserve">Every input from NRB that the transition depends on, from trainee nominations to the cutover decision, is dated in Preliminary Project Plan Section 2.7 and followed in the monthly report.</w:t>
      </w:r>
    </w:p>
    <w:p>
      <w:pPr>
        <w:pStyle w:val="ListParagraph"/>
        <w:numPr>
          <w:ilvl w:val="0"/>
          <w:numId w:val="1"/>
        </w:numPr>
        <w:spacing w:after="60"/>
      </w:pPr>
      <w:r>
        <w:rPr>
          <w:b w:val="false"/>
          <w:bCs w:val="false"/>
          <w:i w:val="false"/>
          <w:iCs w:val="false"/>
        </w:rPr>
        <w:t xml:space="preserve">Training has no float, and the plan is built around it: operators are trained first, so that both shifts can run production from week 27.</w:t>
      </w:r>
    </w:p>
    <w:p>
      <w:pPr>
        <w:pStyle w:val="ListParagraph"/>
        <w:numPr>
          <w:ilvl w:val="0"/>
          <w:numId w:val="1"/>
        </w:numPr>
        <w:spacing w:after="60"/>
      </w:pPr>
      <w:r>
        <w:rPr>
          <w:b w:val="false"/>
          <w:bCs w:val="false"/>
          <w:i w:val="false"/>
          <w:iCs w:val="false"/>
        </w:rPr>
        <w:t xml:space="preserve">Responsibility moves to NRB in stages, and each stage has a condition that must be met before the next, as set out in Preliminary Project Plan Section 3.1.</w:t>
      </w:r>
    </w:p>
    <w:p>
      <w:pPr>
        <w:pStyle w:val="ListParagraph"/>
        <w:numPr>
          <w:ilvl w:val="0"/>
          <w:numId w:val="1"/>
        </w:numPr>
        <w:spacing w:after="60"/>
      </w:pPr>
      <w:r>
        <w:rPr>
          <w:b w:val="false"/>
          <w:bCs w:val="false"/>
          <w:i w:val="false"/>
          <w:iCs w:val="false"/>
        </w:rPr>
        <w:t xml:space="preserve">The fallback in </w:t>
      </w:r>
      <w:r>
        <w:rPr>
          <w:b w:val="false"/>
          <w:bCs w:val="false"/>
          <w:i w:val="false"/>
          <w:iCs w:val="false"/>
        </w:rPr>
        <w:t xml:space="preserve">Section </w:t>
      </w:r>
      <w:fldSimple w:instr="REF sec_4_2 \w \h">
        <w:r>
          <w:t xml:space="preserve">4.2</w:t>
        </w:r>
      </w:fldSimple>
      <w:r>
        <w:rPr>
          <w:b w:val="false"/>
          <w:bCs w:val="false"/>
          <w:i w:val="false"/>
          <w:iCs w:val="false"/>
        </w:rPr>
        <w:t xml:space="preserve"> keeps card issuance running whatever happens to the new facility during acceptance.</w:t>
      </w:r>
    </w:p>
    <w:p>
      <w:pPr>
        <w:spacing w:after="140" w:line="276"/>
      </w:pPr>
      <w:r>
        <w:rPr>
          <w:b/>
          <w:bCs/>
          <w:i w:val="false"/>
          <w:iCs w:val="false"/>
        </w:rPr>
        <w:t xml:space="preserve">Transition risks.</w:t>
      </w:r>
      <w:r>
        <w:rPr>
          <w:b w:val="false"/>
          <w:bCs w:val="false"/>
          <w:i w:val="false"/>
          <w:iCs w:val="false"/>
        </w:rPr>
        <w:t xml:space="preserve"> Rated on the scale of the project risk register in Preliminary Project Plan Section 2.9. R10 and R11 are in that register; R13 and R14 are added by this plan.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34"/>
        <w:gridCol w:w="1450"/>
        <w:gridCol w:w="3597"/>
        <w:gridCol w:w="1339"/>
      </w:tblGrid>
      <w:tr>
        <w:trPr>
          <w:tblHeader/>
        </w:trPr>
        <w:tc>
          <w:tcPr>
            <w:tcW w:type="dxa" w:w="2634"/>
            <w:shd w:fill="EDEDED" w:val="clear"/>
            <w:tcMar>
              <w:top w:type="dxa" w:w="60"/>
              <w:left w:type="dxa" w:w="100"/>
              <w:bottom w:type="dxa" w:w="60"/>
              <w:right w:type="dxa" w:w="100"/>
            </w:tcMar>
          </w:tcPr>
          <w:p>
            <w:pPr>
              <w:spacing w:after="0" w:before="0"/>
            </w:pPr>
            <w:r>
              <w:rPr>
                <w:b/>
                <w:bCs/>
                <w:i w:val="false"/>
                <w:iCs w:val="false"/>
              </w:rPr>
              <w:t xml:space="preserve">Risk</w:t>
            </w:r>
          </w:p>
        </w:tc>
        <w:tc>
          <w:tcPr>
            <w:tcW w:type="dxa" w:w="1450"/>
            <w:shd w:fill="EDEDED" w:val="clear"/>
            <w:tcMar>
              <w:top w:type="dxa" w:w="60"/>
              <w:left w:type="dxa" w:w="100"/>
              <w:bottom w:type="dxa" w:w="60"/>
              <w:right w:type="dxa" w:w="100"/>
            </w:tcMar>
          </w:tcPr>
          <w:p>
            <w:pPr>
              <w:spacing w:after="0" w:before="0"/>
            </w:pPr>
            <w:r>
              <w:rPr>
                <w:b/>
                <w:bCs/>
                <w:i w:val="false"/>
                <w:iCs w:val="false"/>
              </w:rPr>
              <w:t xml:space="preserve">Rating</w:t>
            </w:r>
          </w:p>
        </w:tc>
        <w:tc>
          <w:tcPr>
            <w:tcW w:type="dxa" w:w="3597"/>
            <w:shd w:fill="EDEDED" w:val="clear"/>
            <w:tcMar>
              <w:top w:type="dxa" w:w="60"/>
              <w:left w:type="dxa" w:w="100"/>
              <w:bottom w:type="dxa" w:w="60"/>
              <w:right w:type="dxa" w:w="100"/>
            </w:tcMar>
          </w:tcPr>
          <w:p>
            <w:pPr>
              <w:spacing w:after="0" w:before="0"/>
            </w:pPr>
            <w:r>
              <w:rPr>
                <w:b/>
                <w:bCs/>
                <w:i w:val="false"/>
                <w:iCs w:val="false"/>
              </w:rPr>
              <w:t xml:space="preserve">Mitigation</w:t>
            </w:r>
          </w:p>
        </w:tc>
        <w:tc>
          <w:tcPr>
            <w:tcW w:type="dxa" w:w="1339"/>
            <w:shd w:fill="EDEDED" w:val="clear"/>
            <w:tcMar>
              <w:top w:type="dxa" w:w="60"/>
              <w:left w:type="dxa" w:w="100"/>
              <w:bottom w:type="dxa" w:w="60"/>
              <w:right w:type="dxa" w:w="100"/>
            </w:tcMar>
          </w:tcPr>
          <w:p>
            <w:pPr>
              <w:spacing w:after="0" w:before="0"/>
            </w:pPr>
            <w:r>
              <w:rPr>
                <w:b/>
                <w:bCs/>
                <w:i w:val="false"/>
                <w:iCs w:val="false"/>
              </w:rPr>
              <w:t xml:space="preserve">Owner</w:t>
            </w:r>
          </w:p>
        </w:tc>
      </w:tr>
      <w:tr>
        <w:tc>
          <w:tcPr>
            <w:tcW w:type="dxa" w:w="2634"/>
            <w:tcMar>
              <w:top w:type="dxa" w:w="60"/>
              <w:left w:type="dxa" w:w="100"/>
              <w:bottom w:type="dxa" w:w="60"/>
              <w:right w:type="dxa" w:w="100"/>
            </w:tcMar>
          </w:tcPr>
          <w:p>
            <w:pPr>
              <w:spacing w:after="0" w:before="0"/>
            </w:pPr>
            <w:r>
              <w:rPr>
                <w:b/>
                <w:bCs/>
                <w:i w:val="false"/>
                <w:iCs w:val="false"/>
              </w:rPr>
              <w:t xml:space="preserve">R10</w:t>
            </w:r>
            <w:r>
              <w:rPr>
                <w:b w:val="false"/>
                <w:bCs w:val="false"/>
                <w:i w:val="false"/>
                <w:iCs w:val="false"/>
              </w:rPr>
              <w:t xml:space="preserve"> A request is produced by both the existing printers and the new facility during transition</w:t>
            </w:r>
          </w:p>
        </w:tc>
        <w:tc>
          <w:tcPr>
            <w:tcW w:type="dxa" w:w="1450"/>
            <w:tcMar>
              <w:top w:type="dxa" w:w="60"/>
              <w:left w:type="dxa" w:w="100"/>
              <w:bottom w:type="dxa" w:w="60"/>
              <w:right w:type="dxa" w:w="100"/>
            </w:tcMar>
          </w:tcPr>
          <w:p>
            <w:pPr>
              <w:spacing w:after="0" w:before="0"/>
            </w:pPr>
            <w:r>
              <w:rPr>
                <w:b w:val="false"/>
                <w:bCs w:val="false"/>
                <w:i w:val="false"/>
                <w:iCs w:val="false"/>
              </w:rPr>
              <w:t xml:space="preserve">Low likelihood, high impact</w:t>
            </w:r>
          </w:p>
        </w:tc>
        <w:tc>
          <w:tcPr>
            <w:tcW w:type="dxa" w:w="3597"/>
            <w:tcMar>
              <w:top w:type="dxa" w:w="60"/>
              <w:left w:type="dxa" w:w="100"/>
              <w:bottom w:type="dxa" w:w="60"/>
              <w:right w:type="dxa" w:w="100"/>
            </w:tcMar>
          </w:tcPr>
          <w:p>
            <w:pPr>
              <w:spacing w:after="0" w:before="0"/>
            </w:pPr>
            <w:r>
              <w:rPr>
                <w:b w:val="false"/>
                <w:bCs w:val="false"/>
                <w:i w:val="false"/>
                <w:iCs w:val="false"/>
              </w:rPr>
              <w:t xml:space="preserve">Release to the new facility marked in NRIS and excluded from the middleware selection; tested in pilot production</w:t>
            </w:r>
          </w:p>
        </w:tc>
        <w:tc>
          <w:tcPr>
            <w:tcW w:type="dxa" w:w="1339"/>
            <w:tcMar>
              <w:top w:type="dxa" w:w="60"/>
              <w:left w:type="dxa" w:w="100"/>
              <w:bottom w:type="dxa" w:w="60"/>
              <w:right w:type="dxa" w:w="100"/>
            </w:tcMar>
          </w:tcPr>
          <w:p>
            <w:pPr>
              <w:spacing w:after="0" w:before="0"/>
            </w:pPr>
            <w:r>
              <w:rPr>
                <w:b w:val="false"/>
                <w:bCs w:val="false"/>
                <w:i w:val="false"/>
                <w:iCs w:val="false"/>
              </w:rPr>
              <w:t xml:space="preserve">NRB, with Inkript</w:t>
            </w:r>
          </w:p>
        </w:tc>
      </w:tr>
      <w:tr>
        <w:tc>
          <w:tcPr>
            <w:tcW w:type="dxa" w:w="2634"/>
            <w:tcMar>
              <w:top w:type="dxa" w:w="60"/>
              <w:left w:type="dxa" w:w="100"/>
              <w:bottom w:type="dxa" w:w="60"/>
              <w:right w:type="dxa" w:w="100"/>
            </w:tcMar>
          </w:tcPr>
          <w:p>
            <w:pPr>
              <w:spacing w:after="0" w:before="0"/>
            </w:pPr>
            <w:r>
              <w:rPr>
                <w:b/>
                <w:bCs/>
                <w:i w:val="false"/>
                <w:iCs w:val="false"/>
              </w:rPr>
              <w:t xml:space="preserve">R11</w:t>
            </w:r>
            <w:r>
              <w:rPr>
                <w:b w:val="false"/>
                <w:bCs w:val="false"/>
                <w:i w:val="false"/>
                <w:iCs w:val="false"/>
              </w:rPr>
              <w:t xml:space="preserve"> Trained NRB staff are not available in the numbers needed for operational independence</w:t>
            </w:r>
          </w:p>
        </w:tc>
        <w:tc>
          <w:tcPr>
            <w:tcW w:type="dxa" w:w="1450"/>
            <w:tcMar>
              <w:top w:type="dxa" w:w="60"/>
              <w:left w:type="dxa" w:w="100"/>
              <w:bottom w:type="dxa" w:w="60"/>
              <w:right w:type="dxa" w:w="100"/>
            </w:tcMar>
          </w:tcPr>
          <w:p>
            <w:pPr>
              <w:spacing w:after="0" w:before="0"/>
            </w:pPr>
            <w:r>
              <w:rPr>
                <w:b w:val="false"/>
                <w:bCs w:val="false"/>
                <w:i w:val="false"/>
                <w:iCs w:val="false"/>
              </w:rPr>
              <w:t xml:space="preserve">Medium likelihood, medium impact</w:t>
            </w:r>
          </w:p>
        </w:tc>
        <w:tc>
          <w:tcPr>
            <w:tcW w:type="dxa" w:w="3597"/>
            <w:tcMar>
              <w:top w:type="dxa" w:w="60"/>
              <w:left w:type="dxa" w:w="100"/>
              <w:bottom w:type="dxa" w:w="60"/>
              <w:right w:type="dxa" w:w="100"/>
            </w:tcMar>
          </w:tcPr>
          <w:p>
            <w:pPr>
              <w:spacing w:after="0" w:before="0"/>
            </w:pPr>
            <w:r>
              <w:rPr>
                <w:b w:val="false"/>
                <w:bCs w:val="false"/>
                <w:i w:val="false"/>
                <w:iCs w:val="false"/>
              </w:rPr>
              <w:t xml:space="preserve">Recommended numbers issued in week 2; nominations by week 20; operators trained first</w:t>
            </w:r>
          </w:p>
        </w:tc>
        <w:tc>
          <w:tcPr>
            <w:tcW w:type="dxa" w:w="1339"/>
            <w:tcMar>
              <w:top w:type="dxa" w:w="60"/>
              <w:left w:type="dxa" w:w="100"/>
              <w:bottom w:type="dxa" w:w="60"/>
              <w:right w:type="dxa" w:w="100"/>
            </w:tcMar>
          </w:tcPr>
          <w:p>
            <w:pPr>
              <w:spacing w:after="0" w:before="0"/>
            </w:pPr>
            <w:r>
              <w:rPr>
                <w:b w:val="false"/>
                <w:bCs w:val="false"/>
                <w:i w:val="false"/>
                <w:iCs w:val="false"/>
              </w:rPr>
              <w:t xml:space="preserve">NRB, with Inkript</w:t>
            </w:r>
          </w:p>
        </w:tc>
      </w:tr>
      <w:tr>
        <w:tc>
          <w:tcPr>
            <w:tcW w:type="dxa" w:w="2634"/>
            <w:tcMar>
              <w:top w:type="dxa" w:w="60"/>
              <w:left w:type="dxa" w:w="100"/>
              <w:bottom w:type="dxa" w:w="60"/>
              <w:right w:type="dxa" w:w="100"/>
            </w:tcMar>
          </w:tcPr>
          <w:p>
            <w:pPr>
              <w:spacing w:after="0" w:before="0"/>
            </w:pPr>
            <w:r>
              <w:rPr>
                <w:b/>
                <w:bCs/>
                <w:i w:val="false"/>
                <w:iCs w:val="false"/>
              </w:rPr>
              <w:t xml:space="preserve">R13</w:t>
            </w:r>
            <w:r>
              <w:rPr>
                <w:b w:val="false"/>
                <w:bCs w:val="false"/>
                <w:i w:val="false"/>
                <w:iCs w:val="false"/>
              </w:rPr>
              <w:t xml:space="preserve"> Staff return to former practice, or work around the new controls, once the Supplier steps back</w:t>
            </w:r>
          </w:p>
        </w:tc>
        <w:tc>
          <w:tcPr>
            <w:tcW w:type="dxa" w:w="1450"/>
            <w:tcMar>
              <w:top w:type="dxa" w:w="60"/>
              <w:left w:type="dxa" w:w="100"/>
              <w:bottom w:type="dxa" w:w="60"/>
              <w:right w:type="dxa" w:w="100"/>
            </w:tcMar>
          </w:tcPr>
          <w:p>
            <w:pPr>
              <w:spacing w:after="0" w:before="0"/>
            </w:pPr>
            <w:r>
              <w:rPr>
                <w:b w:val="false"/>
                <w:bCs w:val="false"/>
                <w:i w:val="false"/>
                <w:iCs w:val="false"/>
              </w:rPr>
              <w:t xml:space="preserve">Medium likelihood, medium impact</w:t>
            </w:r>
          </w:p>
        </w:tc>
        <w:tc>
          <w:tcPr>
            <w:tcW w:type="dxa" w:w="3597"/>
            <w:tcMar>
              <w:top w:type="dxa" w:w="60"/>
              <w:left w:type="dxa" w:w="100"/>
              <w:bottom w:type="dxa" w:w="60"/>
              <w:right w:type="dxa" w:w="100"/>
            </w:tcMar>
          </w:tcPr>
          <w:p>
            <w:pPr>
              <w:spacing w:after="0" w:before="0"/>
            </w:pPr>
            <w:r>
              <w:rPr>
                <w:b w:val="false"/>
                <w:bCs w:val="false"/>
                <w:i w:val="false"/>
                <w:iCs w:val="false"/>
              </w:rPr>
              <w:t xml:space="preserve">Procedures written with the staff who use them; NRB trainers; operational acceptance tests 13 and 16; daily review during stabilization; adoption issues in the monthly service review</w:t>
            </w:r>
          </w:p>
        </w:tc>
        <w:tc>
          <w:tcPr>
            <w:tcW w:type="dxa" w:w="1339"/>
            <w:tcMar>
              <w:top w:type="dxa" w:w="60"/>
              <w:left w:type="dxa" w:w="100"/>
              <w:bottom w:type="dxa" w:w="60"/>
              <w:right w:type="dxa" w:w="100"/>
            </w:tcMar>
          </w:tcPr>
          <w:p>
            <w:pPr>
              <w:spacing w:after="0" w:before="0"/>
            </w:pPr>
            <w:r>
              <w:rPr>
                <w:b w:val="false"/>
                <w:bCs w:val="false"/>
                <w:i w:val="false"/>
                <w:iCs w:val="false"/>
              </w:rPr>
              <w:t xml:space="preserve">NRB operations manager, with Inkript</w:t>
            </w:r>
          </w:p>
        </w:tc>
      </w:tr>
      <w:tr>
        <w:tc>
          <w:tcPr>
            <w:tcW w:type="dxa" w:w="2634"/>
            <w:tcMar>
              <w:top w:type="dxa" w:w="60"/>
              <w:left w:type="dxa" w:w="100"/>
              <w:bottom w:type="dxa" w:w="60"/>
              <w:right w:type="dxa" w:w="100"/>
            </w:tcMar>
          </w:tcPr>
          <w:p>
            <w:pPr>
              <w:spacing w:after="0" w:before="0"/>
            </w:pPr>
            <w:r>
              <w:rPr>
                <w:b/>
                <w:bCs/>
                <w:i w:val="false"/>
                <w:iCs w:val="false"/>
              </w:rPr>
              <w:t xml:space="preserve">R14</w:t>
            </w:r>
            <w:r>
              <w:rPr>
                <w:b w:val="false"/>
                <w:bCs w:val="false"/>
                <w:i w:val="false"/>
                <w:iCs w:val="false"/>
              </w:rPr>
              <w:t xml:space="preserve"> An unapproved or faulty change stops production or weakens a control</w:t>
            </w:r>
          </w:p>
        </w:tc>
        <w:tc>
          <w:tcPr>
            <w:tcW w:type="dxa" w:w="1450"/>
            <w:tcMar>
              <w:top w:type="dxa" w:w="60"/>
              <w:left w:type="dxa" w:w="100"/>
              <w:bottom w:type="dxa" w:w="60"/>
              <w:right w:type="dxa" w:w="100"/>
            </w:tcMar>
          </w:tcPr>
          <w:p>
            <w:pPr>
              <w:spacing w:after="0" w:before="0"/>
            </w:pPr>
            <w:r>
              <w:rPr>
                <w:b w:val="false"/>
                <w:bCs w:val="false"/>
                <w:i w:val="false"/>
                <w:iCs w:val="false"/>
              </w:rPr>
              <w:t xml:space="preserve">Low likelihood, high impact</w:t>
            </w:r>
          </w:p>
        </w:tc>
        <w:tc>
          <w:tcPr>
            <w:tcW w:type="dxa" w:w="3597"/>
            <w:tcMar>
              <w:top w:type="dxa" w:w="60"/>
              <w:left w:type="dxa" w:w="100"/>
              <w:bottom w:type="dxa" w:w="60"/>
              <w:right w:type="dxa" w:w="100"/>
            </w:tcMar>
          </w:tcPr>
          <w:p>
            <w:pPr>
              <w:spacing w:after="0" w:before="0"/>
            </w:pPr>
            <w:r>
              <w:rPr>
                <w:b w:val="false"/>
                <w:bCs w:val="false"/>
                <w:i w:val="false"/>
                <w:iCs w:val="false"/>
              </w:rPr>
              <w:t xml:space="preserve">Change procedure in </w:t>
            </w:r>
            <w:r>
              <w:rPr>
                <w:b w:val="false"/>
                <w:bCs w:val="false"/>
                <w:i w:val="false"/>
                <w:iCs w:val="false"/>
              </w:rPr>
              <w:t xml:space="preserve">Section </w:t>
            </w:r>
            <w:fldSimple w:instr="REF sec_5_2 \w \h">
              <w:r>
                <w:t xml:space="preserve">5.2</w:t>
              </w:r>
            </w:fldSimple>
            <w:r>
              <w:rPr>
                <w:b w:val="false"/>
                <w:bCs w:val="false"/>
                <w:i w:val="false"/>
                <w:iCs w:val="false"/>
              </w:rPr>
              <w:t xml:space="preserve">; drift detection; changes outside the production day; rollback plan for every change; requirements freeze</w:t>
            </w:r>
          </w:p>
        </w:tc>
        <w:tc>
          <w:tcPr>
            <w:tcW w:type="dxa" w:w="1339"/>
            <w:tcMar>
              <w:top w:type="dxa" w:w="60"/>
              <w:left w:type="dxa" w:w="100"/>
              <w:bottom w:type="dxa" w:w="60"/>
              <w:right w:type="dxa" w:w="100"/>
            </w:tcMar>
          </w:tcPr>
          <w:p>
            <w:pPr>
              <w:spacing w:after="0" w:before="0"/>
            </w:pPr>
            <w:r>
              <w:rPr>
                <w:b w:val="false"/>
                <w:bCs w:val="false"/>
                <w:i w:val="false"/>
                <w:iCs w:val="false"/>
              </w:rPr>
              <w:t xml:space="preserve">Change board</w:t>
            </w:r>
          </w:p>
        </w:tc>
      </w:tr>
    </w:tbl>
    <w:p>
      <w:pPr>
        <w:spacing w:after="140"/>
      </w:pPr>
    </w:p>
    <w:p>
      <w:pPr>
        <w:spacing w:after="140" w:line="276"/>
      </w:pPr>
      <w:r>
        <w:rPr>
          <w:b w:val="false"/>
          <w:bCs w:val="false"/>
          <w:i w:val="false"/>
          <w:iCs w:val="false"/>
        </w:rPr>
        <w:t xml:space="preserve">The risk that NRB cannot operate the security controls after handover is C15 in Cybersecurity Risk Management Plan Section 4.3.</w:t>
      </w:r>
    </w:p>
    <w:p>
      <w:r>
        <w:br w:type="page"/>
      </w:r>
    </w:p>
    <w:p>
      <w:r>
        <w:br w:type="page"/>
      </w:r>
    </w:p>
    <w:p>
      <w:pPr>
        <w:pStyle w:val="Heading1"/>
        <w:numPr>
          <w:ilvl w:val="0"/>
          <w:numId w:val="2"/>
        </w:numPr>
        <w:spacing w:after="140" w:before="240"/>
      </w:pPr>
      <w:r>
        <w:t xml:space="preserve">T</w:t>
      </w:r>
      <w:bookmarkStart w:name="sec_5" w:id="1"/>
      <w:r>
        <w:rPr>
          <w:b w:val="false"/>
          <w:bCs w:val="false"/>
          <w:i w:val="false"/>
          <w:iCs w:val="false"/>
        </w:rPr>
        <w:t xml:space="preserve">echnical Change Control</w:t>
      </w:r>
      <w:bookmarkEnd w:id="1"/>
    </w:p>
    <w:p>
      <w:pPr>
        <w:pStyle w:val="Heading2"/>
        <w:numPr>
          <w:ilvl w:val="1"/>
          <w:numId w:val="2"/>
        </w:numPr>
        <w:spacing w:after="140" w:before="260"/>
      </w:pPr>
      <w:r>
        <w:t xml:space="preserve">C</w:t>
      </w:r>
      <w:bookmarkStart w:name="sec_5_1" w:id="1"/>
      <w:r>
        <w:rPr>
          <w:b w:val="false"/>
          <w:bCs w:val="false"/>
          <w:i w:val="false"/>
          <w:iCs w:val="false"/>
        </w:rPr>
        <w:t xml:space="preserve">hange types and approval</w:t>
      </w:r>
      <w:bookmarkEnd w:id="1"/>
    </w:p>
    <w:p>
      <w:pPr>
        <w:spacing w:after="140" w:line="276"/>
      </w:pPr>
      <w:r>
        <w:rPr>
          <w:b w:val="false"/>
          <w:bCs w:val="false"/>
          <w:i w:val="false"/>
          <w:iCs w:val="false"/>
        </w:rPr>
        <w:t xml:space="preserve">Change control covers every component named in Section VII clause 1.4.1.2: the hardware, the software, the middleware and the security systems, including equipment firmware and the manufacturer's releases, the NRIS interfaces, the card layout templates, the firewalls, the security monitoring and the hardware security modules. The physical security installations are under the facility works, and only their integration with monitoring falls under this control. The capabilities that support it are described in System Architecture Section 12.1.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30"/>
        <w:gridCol w:w="3702"/>
        <w:gridCol w:w="4088"/>
      </w:tblGrid>
      <w:tr>
        <w:trPr>
          <w:tblHeader/>
        </w:trPr>
        <w:tc>
          <w:tcPr>
            <w:tcW w:type="dxa" w:w="1230"/>
            <w:shd w:fill="EDEDED" w:val="clear"/>
            <w:tcMar>
              <w:top w:type="dxa" w:w="60"/>
              <w:left w:type="dxa" w:w="100"/>
              <w:bottom w:type="dxa" w:w="60"/>
              <w:right w:type="dxa" w:w="100"/>
            </w:tcMar>
          </w:tcPr>
          <w:p>
            <w:pPr>
              <w:spacing w:after="0" w:before="0"/>
            </w:pPr>
            <w:r>
              <w:rPr>
                <w:b/>
                <w:bCs/>
                <w:i w:val="false"/>
                <w:iCs w:val="false"/>
              </w:rPr>
              <w:t xml:space="preserve">Type</w:t>
            </w:r>
          </w:p>
        </w:tc>
        <w:tc>
          <w:tcPr>
            <w:tcW w:type="dxa" w:w="3702"/>
            <w:shd w:fill="EDEDED" w:val="clear"/>
            <w:tcMar>
              <w:top w:type="dxa" w:w="60"/>
              <w:left w:type="dxa" w:w="100"/>
              <w:bottom w:type="dxa" w:w="60"/>
              <w:right w:type="dxa" w:w="100"/>
            </w:tcMar>
          </w:tcPr>
          <w:p>
            <w:pPr>
              <w:spacing w:after="0" w:before="0"/>
            </w:pPr>
            <w:r>
              <w:rPr>
                <w:b/>
                <w:bCs/>
                <w:i w:val="false"/>
                <w:iCs w:val="false"/>
              </w:rPr>
              <w:t xml:space="preserve">Examples</w:t>
            </w:r>
          </w:p>
        </w:tc>
        <w:tc>
          <w:tcPr>
            <w:tcW w:type="dxa" w:w="4088"/>
            <w:shd w:fill="EDEDED" w:val="clear"/>
            <w:tcMar>
              <w:top w:type="dxa" w:w="60"/>
              <w:left w:type="dxa" w:w="100"/>
              <w:bottom w:type="dxa" w:w="60"/>
              <w:right w:type="dxa" w:w="100"/>
            </w:tcMar>
          </w:tcPr>
          <w:p>
            <w:pPr>
              <w:spacing w:after="0" w:before="0"/>
            </w:pPr>
            <w:r>
              <w:rPr>
                <w:b/>
                <w:bCs/>
                <w:i w:val="false"/>
                <w:iCs w:val="false"/>
              </w:rPr>
              <w:t xml:space="preserve">Approved by, and when applied</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Standard</w:t>
            </w:r>
          </w:p>
        </w:tc>
        <w:tc>
          <w:tcPr>
            <w:tcW w:type="dxa" w:w="3702"/>
            <w:tcMar>
              <w:top w:type="dxa" w:w="60"/>
              <w:left w:type="dxa" w:w="100"/>
              <w:bottom w:type="dxa" w:w="60"/>
              <w:right w:type="dxa" w:w="100"/>
            </w:tcMar>
          </w:tcPr>
          <w:p>
            <w:pPr>
              <w:spacing w:after="0" w:before="0"/>
            </w:pPr>
            <w:r>
              <w:rPr>
                <w:b w:val="false"/>
                <w:bCs w:val="false"/>
                <w:i w:val="false"/>
                <w:iCs w:val="false"/>
              </w:rPr>
              <w:t xml:space="preserve">Pre-approved, repeatable changes such as the monthly patch cycle</w:t>
            </w:r>
          </w:p>
        </w:tc>
        <w:tc>
          <w:tcPr>
            <w:tcW w:type="dxa" w:w="4088"/>
            <w:tcMar>
              <w:top w:type="dxa" w:w="60"/>
              <w:left w:type="dxa" w:w="100"/>
              <w:bottom w:type="dxa" w:w="60"/>
              <w:right w:type="dxa" w:w="100"/>
            </w:tcMar>
          </w:tcPr>
          <w:p>
            <w:pPr>
              <w:spacing w:after="0" w:before="0"/>
            </w:pPr>
            <w:r>
              <w:rPr>
                <w:b w:val="false"/>
                <w:bCs w:val="false"/>
                <w:i w:val="false"/>
                <w:iCs w:val="false"/>
              </w:rPr>
              <w:t xml:space="preserve">The change board approves the model once; applied in a maintenance window</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Normal</w:t>
            </w:r>
          </w:p>
        </w:tc>
        <w:tc>
          <w:tcPr>
            <w:tcW w:type="dxa" w:w="3702"/>
            <w:tcMar>
              <w:top w:type="dxa" w:w="60"/>
              <w:left w:type="dxa" w:w="100"/>
              <w:bottom w:type="dxa" w:w="60"/>
              <w:right w:type="dxa" w:w="100"/>
            </w:tcMar>
          </w:tcPr>
          <w:p>
            <w:pPr>
              <w:spacing w:after="0" w:before="0"/>
            </w:pPr>
            <w:r>
              <w:rPr>
                <w:b w:val="false"/>
                <w:bCs w:val="false"/>
                <w:i w:val="false"/>
                <w:iCs w:val="false"/>
              </w:rPr>
              <w:t xml:space="preserve">Software releases, configuration changes, firmware, interface definitions, card layout templates, new versions from manufacturers</w:t>
            </w:r>
          </w:p>
        </w:tc>
        <w:tc>
          <w:tcPr>
            <w:tcW w:type="dxa" w:w="4088"/>
            <w:tcMar>
              <w:top w:type="dxa" w:w="60"/>
              <w:left w:type="dxa" w:w="100"/>
              <w:bottom w:type="dxa" w:w="60"/>
              <w:right w:type="dxa" w:w="100"/>
            </w:tcMar>
          </w:tcPr>
          <w:p>
            <w:pPr>
              <w:spacing w:after="0" w:before="0"/>
            </w:pPr>
            <w:r>
              <w:rPr>
                <w:b w:val="false"/>
                <w:bCs w:val="false"/>
                <w:i w:val="false"/>
                <w:iCs w:val="false"/>
              </w:rPr>
              <w:t xml:space="preserve">The change board, after testing outside production; applied in a maintenance window</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Emergency</w:t>
            </w:r>
          </w:p>
        </w:tc>
        <w:tc>
          <w:tcPr>
            <w:tcW w:type="dxa" w:w="3702"/>
            <w:tcMar>
              <w:top w:type="dxa" w:w="60"/>
              <w:left w:type="dxa" w:w="100"/>
              <w:bottom w:type="dxa" w:w="60"/>
              <w:right w:type="dxa" w:w="100"/>
            </w:tcMar>
          </w:tcPr>
          <w:p>
            <w:pPr>
              <w:spacing w:after="0" w:before="0"/>
            </w:pPr>
            <w:r>
              <w:rPr>
                <w:b w:val="false"/>
                <w:bCs w:val="false"/>
                <w:i w:val="false"/>
                <w:iCs w:val="false"/>
              </w:rPr>
              <w:t xml:space="preserve">Critical security patches applied out of cycle, and changes needed during an incident or recovery</w:t>
            </w:r>
          </w:p>
        </w:tc>
        <w:tc>
          <w:tcPr>
            <w:tcW w:type="dxa" w:w="4088"/>
            <w:tcMar>
              <w:top w:type="dxa" w:w="60"/>
              <w:left w:type="dxa" w:w="100"/>
              <w:bottom w:type="dxa" w:w="60"/>
              <w:right w:type="dxa" w:w="100"/>
            </w:tcMar>
          </w:tcPr>
          <w:p>
            <w:pPr>
              <w:spacing w:after="0" w:before="0"/>
            </w:pPr>
            <w:r>
              <w:rPr>
                <w:b w:val="false"/>
                <w:bCs w:val="false"/>
                <w:i w:val="false"/>
                <w:iCs w:val="false"/>
              </w:rPr>
              <w:t xml:space="preserve">The incident manager or the NRB ICT manager; reviewed at the next change board</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Change to scope, price or time</w:t>
            </w:r>
          </w:p>
        </w:tc>
        <w:tc>
          <w:tcPr>
            <w:tcW w:type="dxa" w:w="3702"/>
            <w:tcMar>
              <w:top w:type="dxa" w:w="60"/>
              <w:left w:type="dxa" w:w="100"/>
              <w:bottom w:type="dxa" w:w="60"/>
              <w:right w:type="dxa" w:w="100"/>
            </w:tcMar>
          </w:tcPr>
          <w:p>
            <w:pPr>
              <w:spacing w:after="0" w:before="0"/>
            </w:pPr>
            <w:r>
              <w:rPr>
                <w:b w:val="false"/>
                <w:bCs w:val="false"/>
                <w:i w:val="false"/>
                <w:iCs w:val="false"/>
              </w:rPr>
              <w:t xml:space="preserve">A change to what the Contract requires</w:t>
            </w:r>
          </w:p>
        </w:tc>
        <w:tc>
          <w:tcPr>
            <w:tcW w:type="dxa" w:w="4088"/>
            <w:tcMar>
              <w:top w:type="dxa" w:w="60"/>
              <w:left w:type="dxa" w:w="100"/>
              <w:bottom w:type="dxa" w:w="60"/>
              <w:right w:type="dxa" w:w="100"/>
            </w:tcMar>
          </w:tcPr>
          <w:p>
            <w:pPr>
              <w:spacing w:after="0" w:before="0"/>
            </w:pPr>
            <w:r>
              <w:rPr>
                <w:b w:val="false"/>
                <w:bCs w:val="false"/>
                <w:i w:val="false"/>
                <w:iCs w:val="false"/>
              </w:rPr>
              <w:t xml:space="preserve">The Purchaser, by Change Order under GCC 39, recorded in the Change Order Log; then delivered as a normal change</w:t>
            </w:r>
          </w:p>
        </w:tc>
      </w:tr>
    </w:tbl>
    <w:p>
      <w:pPr>
        <w:spacing w:after="140"/>
      </w:pPr>
    </w:p>
    <w:p>
      <w:pPr>
        <w:spacing w:after="140" w:line="276"/>
      </w:pPr>
      <w:r>
        <w:rPr>
          <w:b w:val="false"/>
          <w:bCs w:val="false"/>
          <w:i w:val="false"/>
          <w:iCs w:val="false"/>
        </w:rPr>
        <w:t xml:space="preserve">The Change Order Log, which records contractual Changes, is kept apart from the technical change log. Patching follows the cycle in Cybersecurity Risk Management Plan Section 6.3.</w:t>
      </w:r>
    </w:p>
    <w:p>
      <w:pPr>
        <w:pStyle w:val="Heading2"/>
        <w:numPr>
          <w:ilvl w:val="1"/>
          <w:numId w:val="2"/>
        </w:numPr>
        <w:spacing w:after="140" w:before="260"/>
      </w:pPr>
      <w:r>
        <w:t xml:space="preserve">C</w:t>
      </w:r>
      <w:bookmarkStart w:name="sec_5_2" w:id="1"/>
      <w:r>
        <w:rPr>
          <w:b w:val="false"/>
          <w:bCs w:val="false"/>
          <w:i w:val="false"/>
          <w:iCs w:val="false"/>
        </w:rPr>
        <w:t xml:space="preserve">hange procedure</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Step</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What is done and recorded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Request</w:t>
            </w:r>
          </w:p>
        </w:tc>
        <w:tc>
          <w:tcPr>
            <w:tcW w:type="dxa" w:w="7240"/>
            <w:tcMar>
              <w:top w:type="dxa" w:w="60"/>
              <w:left w:type="dxa" w:w="100"/>
              <w:bottom w:type="dxa" w:w="60"/>
              <w:right w:type="dxa" w:w="100"/>
            </w:tcMar>
          </w:tcPr>
          <w:p>
            <w:pPr>
              <w:spacing w:after="0" w:before="0"/>
            </w:pPr>
            <w:r>
              <w:rPr>
                <w:b w:val="false"/>
                <w:bCs w:val="false"/>
                <w:i w:val="false"/>
                <w:iCs w:val="false"/>
              </w:rPr>
              <w:t xml:space="preserve">The change is logged in the configuration repository with its reason and requester</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Impact analysis</w:t>
            </w:r>
          </w:p>
        </w:tc>
        <w:tc>
          <w:tcPr>
            <w:tcW w:type="dxa" w:w="7240"/>
            <w:tcMar>
              <w:top w:type="dxa" w:w="60"/>
              <w:left w:type="dxa" w:w="100"/>
              <w:bottom w:type="dxa" w:w="60"/>
              <w:right w:type="dxa" w:w="100"/>
            </w:tcMar>
          </w:tcPr>
          <w:p>
            <w:pPr>
              <w:spacing w:after="0" w:before="0"/>
            </w:pPr>
            <w:r>
              <w:rPr>
                <w:b w:val="false"/>
                <w:bCs w:val="false"/>
                <w:i w:val="false"/>
                <w:iCs w:val="false"/>
              </w:rPr>
              <w:t xml:space="preserve">The components, interfaces, environments and security controls affected are identified, and a rollback plan is written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Approval</w:t>
            </w:r>
          </w:p>
        </w:tc>
        <w:tc>
          <w:tcPr>
            <w:tcW w:type="dxa" w:w="7240"/>
            <w:tcMar>
              <w:top w:type="dxa" w:w="60"/>
              <w:left w:type="dxa" w:w="100"/>
              <w:bottom w:type="dxa" w:w="60"/>
              <w:right w:type="dxa" w:w="100"/>
            </w:tcMar>
          </w:tcPr>
          <w:p>
            <w:pPr>
              <w:spacing w:after="0" w:before="0"/>
            </w:pPr>
            <w:r>
              <w:rPr>
                <w:b w:val="false"/>
                <w:bCs w:val="false"/>
                <w:i w:val="false"/>
                <w:iCs w:val="false"/>
              </w:rPr>
              <w:t xml:space="preserve">By the authority for its type in </w:t>
            </w:r>
            <w:r>
              <w:rPr>
                <w:b w:val="false"/>
                <w:bCs w:val="false"/>
                <w:i w:val="false"/>
                <w:iCs w:val="false"/>
              </w:rPr>
              <w:t xml:space="preserve">Section </w:t>
            </w:r>
            <w:fldSimple w:instr="REF sec_5_1 \w \h">
              <w:r>
                <w:t xml:space="preserve">5.1</w:t>
              </w:r>
            </w:fldSimple>
            <w:r>
              <w:rPr>
                <w:b w:val="false"/>
                <w:bCs w:val="false"/>
                <w:i w:val="false"/>
                <w:iCs w:val="false"/>
              </w:rPr>
              <w:t xml:space="preserve">. The approver is neither the requester nor the implementer</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Scheduling</w:t>
            </w:r>
          </w:p>
        </w:tc>
        <w:tc>
          <w:tcPr>
            <w:tcW w:type="dxa" w:w="7240"/>
            <w:tcMar>
              <w:top w:type="dxa" w:w="60"/>
              <w:left w:type="dxa" w:w="100"/>
              <w:bottom w:type="dxa" w:w="60"/>
              <w:right w:type="dxa" w:w="100"/>
            </w:tcMar>
          </w:tcPr>
          <w:p>
            <w:pPr>
              <w:spacing w:after="0" w:before="0"/>
            </w:pPr>
            <w:r>
              <w:rPr>
                <w:b w:val="false"/>
                <w:bCs w:val="false"/>
                <w:i w:val="false"/>
                <w:iCs w:val="false"/>
              </w:rPr>
              <w:t xml:space="preserve">Placed in a maintenance window in the production calendar agreed with NRB</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Implementation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Promoted from development through user acceptance testing to production, with the training environment kept at the same version. Developers do not deploy to production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Verification</w:t>
            </w:r>
          </w:p>
        </w:tc>
        <w:tc>
          <w:tcPr>
            <w:tcW w:type="dxa" w:w="7240"/>
            <w:tcMar>
              <w:top w:type="dxa" w:w="60"/>
              <w:left w:type="dxa" w:w="100"/>
              <w:bottom w:type="dxa" w:w="60"/>
              <w:right w:type="dxa" w:w="100"/>
            </w:tcMar>
          </w:tcPr>
          <w:p>
            <w:pPr>
              <w:spacing w:after="0" w:before="0"/>
            </w:pPr>
            <w:r>
              <w:rPr>
                <w:b w:val="false"/>
                <w:bCs w:val="false"/>
                <w:i w:val="false"/>
                <w:iCs w:val="false"/>
              </w:rPr>
              <w:t xml:space="preserve">The change is checked against its expected result and reconciled with the audit log</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Closure</w:t>
            </w:r>
          </w:p>
        </w:tc>
        <w:tc>
          <w:tcPr>
            <w:tcW w:type="dxa" w:w="7240"/>
            <w:tcMar>
              <w:top w:type="dxa" w:w="60"/>
              <w:left w:type="dxa" w:w="100"/>
              <w:bottom w:type="dxa" w:w="60"/>
              <w:right w:type="dxa" w:w="100"/>
            </w:tcMar>
          </w:tcPr>
          <w:p>
            <w:pPr>
              <w:spacing w:after="0" w:before="0"/>
            </w:pPr>
            <w:r>
              <w:rPr>
                <w:b w:val="false"/>
                <w:bCs w:val="false"/>
                <w:i w:val="false"/>
                <w:iCs w:val="false"/>
              </w:rPr>
              <w:t xml:space="preserve">The configuration baseline is updated. Emergency and failed changes are reviewed, and the lessons recorded</w:t>
            </w:r>
          </w:p>
        </w:tc>
      </w:tr>
    </w:tbl>
    <w:p>
      <w:pPr>
        <w:spacing w:after="140"/>
      </w:pPr>
    </w:p>
    <w:p>
      <w:pPr>
        <w:spacing w:after="140" w:line="276"/>
      </w:pPr>
      <w:r>
        <w:rPr>
          <w:b/>
          <w:bCs/>
          <w:i w:val="false"/>
          <w:iCs w:val="false"/>
        </w:rPr>
        <w:t xml:space="preserve">Maintenance windows.</w:t>
      </w:r>
      <w:r>
        <w:rPr>
          <w:b w:val="false"/>
          <w:bCs w:val="false"/>
          <w:i w:val="false"/>
          <w:iCs w:val="false"/>
        </w:rPr>
        <w:t xml:space="preserve"> Changes are made outside the production day of two seven-hour shifts. Paired components are changed one at a time while the other carries the load, and equipment one line at a time while the other line produces, as described in System Architecture Section 11.5.</w:t>
      </w:r>
    </w:p>
    <w:p>
      <w:pPr>
        <w:spacing w:after="140" w:line="276"/>
      </w:pPr>
      <w:r>
        <w:rPr>
          <w:b/>
          <w:bCs/>
          <w:i w:val="false"/>
          <w:iCs w:val="false"/>
        </w:rPr>
        <w:t xml:space="preserve">Drift.</w:t>
      </w:r>
      <w:r>
        <w:rPr>
          <w:b w:val="false"/>
          <w:bCs w:val="false"/>
          <w:i w:val="false"/>
          <w:iCs w:val="false"/>
        </w:rPr>
        <w:t xml:space="preserve"> When drift detection finds a configuration that differs from its baseline, the difference is investigated. It is either reversed, or approved as a change after the event. A difference that cannot be explained is treated as a security event.</w:t>
      </w:r>
    </w:p>
    <w:p>
      <w:pPr>
        <w:pStyle w:val="Heading2"/>
        <w:numPr>
          <w:ilvl w:val="1"/>
          <w:numId w:val="2"/>
        </w:numPr>
        <w:spacing w:after="140" w:before="260"/>
      </w:pPr>
      <w:r>
        <w:t xml:space="preserve">L</w:t>
      </w:r>
      <w:bookmarkStart w:name="sec_5_3" w:id="1"/>
      <w:r>
        <w:rPr>
          <w:b w:val="false"/>
          <w:bCs w:val="false"/>
          <w:i w:val="false"/>
          <w:iCs w:val="false"/>
        </w:rPr>
        <w:t xml:space="preserve">ifecycle and handover of change control</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Period</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How change is controlled</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Design to installation, weeks 6 to 26</w:t>
            </w:r>
          </w:p>
        </w:tc>
        <w:tc>
          <w:tcPr>
            <w:tcW w:type="dxa" w:w="7240"/>
            <w:tcMar>
              <w:top w:type="dxa" w:w="60"/>
              <w:left w:type="dxa" w:w="100"/>
              <w:bottom w:type="dxa" w:w="60"/>
              <w:right w:type="dxa" w:w="100"/>
            </w:tcMar>
          </w:tcPr>
          <w:p>
            <w:pPr>
              <w:spacing w:after="0" w:before="0"/>
            </w:pPr>
            <w:r>
              <w:rPr>
                <w:b w:val="false"/>
                <w:bCs w:val="false"/>
                <w:i w:val="false"/>
                <w:iCs w:val="false"/>
              </w:rPr>
              <w:t xml:space="preserve">Approved documents are changed only with the Project Manager's approval, under GCC 21.3.7. Builds and configurations are versioned, and every departure from the approved design is recorded for the as-built documentation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Requirements freeze</w:t>
            </w:r>
          </w:p>
        </w:tc>
        <w:tc>
          <w:tcPr>
            <w:tcW w:type="dxa" w:w="7240"/>
            <w:tcMar>
              <w:top w:type="dxa" w:w="60"/>
              <w:left w:type="dxa" w:w="100"/>
              <w:bottom w:type="dxa" w:w="60"/>
              <w:right w:type="dxa" w:w="100"/>
            </w:tcMar>
          </w:tcPr>
          <w:p>
            <w:pPr>
              <w:spacing w:after="0" w:before="0"/>
            </w:pPr>
            <w:r>
              <w:rPr>
                <w:b w:val="false"/>
                <w:bCs w:val="false"/>
                <w:i w:val="false"/>
                <w:iCs w:val="false"/>
              </w:rPr>
              <w:t xml:space="preserve">Under GCC 39.1.5, the date after which the Technical Requirements are frozen is proposed at the Installation Certificate in week 26 and agreed in the Project Plan. A Change raised later is dealt with after Operational Acceptance, except defect corrections and emergency changes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Commissioning, weeks 27 to 30</w:t>
            </w:r>
          </w:p>
        </w:tc>
        <w:tc>
          <w:tcPr>
            <w:tcW w:type="dxa" w:w="7240"/>
            <w:tcMar>
              <w:top w:type="dxa" w:w="60"/>
              <w:left w:type="dxa" w:w="100"/>
              <w:bottom w:type="dxa" w:w="60"/>
              <w:right w:type="dxa" w:w="100"/>
            </w:tcMar>
          </w:tcPr>
          <w:p>
            <w:pPr>
              <w:spacing w:after="0" w:before="0"/>
            </w:pPr>
            <w:r>
              <w:rPr>
                <w:b w:val="false"/>
                <w:bCs w:val="false"/>
                <w:i w:val="false"/>
                <w:iCs w:val="false"/>
              </w:rPr>
              <w:t xml:space="preserve">The accepted configuration is the baseline, as set out in Preliminary Project Plan Section 4.7, and changes pass only through </w:t>
            </w:r>
            <w:r>
              <w:rPr>
                <w:b w:val="false"/>
                <w:bCs w:val="false"/>
                <w:i w:val="false"/>
                <w:iCs w:val="false"/>
              </w:rPr>
              <w:t xml:space="preserve">Section </w:t>
            </w:r>
            <w:fldSimple w:instr="REF sec_5_2 \w \h">
              <w:r>
                <w:t xml:space="preserve">5.2</w:t>
              </w:r>
            </w:fldSimple>
          </w:p>
        </w:tc>
      </w:tr>
      <w:tr>
        <w:tc>
          <w:tcPr>
            <w:tcW w:type="dxa" w:w="1780"/>
            <w:tcMar>
              <w:top w:type="dxa" w:w="60"/>
              <w:left w:type="dxa" w:w="100"/>
              <w:bottom w:type="dxa" w:w="60"/>
              <w:right w:type="dxa" w:w="100"/>
            </w:tcMar>
          </w:tcPr>
          <w:p>
            <w:pPr>
              <w:spacing w:after="0" w:before="0"/>
            </w:pPr>
            <w:r>
              <w:rPr>
                <w:b w:val="false"/>
                <w:bCs w:val="false"/>
                <w:i w:val="false"/>
                <w:iCs w:val="false"/>
              </w:rPr>
              <w:t xml:space="preserve">Handover, weeks 31 to 32</w:t>
            </w:r>
          </w:p>
        </w:tc>
        <w:tc>
          <w:tcPr>
            <w:tcW w:type="dxa" w:w="7240"/>
            <w:tcMar>
              <w:top w:type="dxa" w:w="60"/>
              <w:left w:type="dxa" w:w="100"/>
              <w:bottom w:type="dxa" w:w="60"/>
              <w:right w:type="dxa" w:w="100"/>
            </w:tcMar>
          </w:tcPr>
          <w:p>
            <w:pPr>
              <w:spacing w:after="0" w:before="0"/>
            </w:pPr>
            <w:r>
              <w:rPr>
                <w:b w:val="false"/>
                <w:bCs w:val="false"/>
                <w:i w:val="false"/>
                <w:iCs w:val="false"/>
              </w:rPr>
              <w:t xml:space="preserve">The final configuration baselines are delivered in the as-built documentation. NRB takes the approver roles and chairs the change board. Supplier access is reduced to named support accounts used with NRB's approval</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Warranty</w:t>
            </w:r>
          </w:p>
        </w:tc>
        <w:tc>
          <w:tcPr>
            <w:tcW w:type="dxa" w:w="7240"/>
            <w:tcMar>
              <w:top w:type="dxa" w:w="60"/>
              <w:left w:type="dxa" w:w="100"/>
              <w:bottom w:type="dxa" w:w="60"/>
              <w:right w:type="dxa" w:w="100"/>
            </w:tcMar>
          </w:tcPr>
          <w:p>
            <w:pPr>
              <w:spacing w:after="0" w:before="0"/>
            </w:pPr>
            <w:r>
              <w:rPr>
                <w:b w:val="false"/>
                <w:bCs w:val="false"/>
                <w:i w:val="false"/>
                <w:iCs w:val="false"/>
              </w:rPr>
              <w:t xml:space="preserve">Defect corrections and new versions are delivered as normal changes. Modifications go first through the Contract's change procedure, then through change control</w:t>
            </w:r>
          </w:p>
        </w:tc>
      </w:tr>
    </w:tbl>
    <w:p>
      <w:pPr>
        <w:spacing w:after="140"/>
      </w:pPr>
    </w:p>
    <w:p>
      <w:pPr>
        <w:spacing w:after="140" w:line="276"/>
      </w:pPr>
      <w:r>
        <w:rPr>
          <w:b w:val="false"/>
          <w:bCs w:val="false"/>
          <w:i w:val="false"/>
          <w:iCs w:val="false"/>
        </w:rPr>
        <w:t xml:space="preserve">NRB's administrators and managers are trained for these roles in the software administration module and the governance and operations module of the Training Sub-Plan, Preliminary Project Plan Sections 3.4 and 3.5.</w:t>
      </w:r>
    </w:p>
    <w:p>
      <w:r>
        <w:br w:type="page"/>
      </w:r>
    </w:p>
    <w:p>
      <w:r>
        <w:br w:type="page"/>
      </w:r>
    </w:p>
    <w:p>
      <w:pPr>
        <w:pStyle w:val="Heading1"/>
        <w:numPr>
          <w:ilvl w:val="0"/>
          <w:numId w:val="2"/>
        </w:numPr>
        <w:spacing w:after="140" w:before="240"/>
      </w:pPr>
      <w:r>
        <w:t xml:space="preserve">R</w:t>
      </w:r>
      <w:bookmarkStart w:name="sec_6" w:id="1"/>
      <w:r>
        <w:rPr>
          <w:b w:val="false"/>
          <w:bCs w:val="false"/>
          <w:i w:val="false"/>
          <w:iCs w:val="false"/>
        </w:rPr>
        <w:t xml:space="preserve">esources and Capacity Building</w:t>
      </w:r>
      <w:bookmarkEnd w:id="1"/>
    </w:p>
    <w:p>
      <w:pPr>
        <w:pStyle w:val="Heading2"/>
        <w:numPr>
          <w:ilvl w:val="1"/>
          <w:numId w:val="2"/>
        </w:numPr>
        <w:spacing w:after="140" w:before="260"/>
      </w:pPr>
      <w:r>
        <w:t xml:space="preserve">R</w:t>
      </w:r>
      <w:bookmarkStart w:name="sec_6_1" w:id="1"/>
      <w:r>
        <w:rPr>
          <w:b w:val="false"/>
          <w:bCs w:val="false"/>
          <w:i w:val="false"/>
          <w:iCs w:val="false"/>
        </w:rPr>
        <w:t xml:space="preserve">esource and skill matrix</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95"/>
        <w:gridCol w:w="6525"/>
      </w:tblGrid>
      <w:tr>
        <w:trPr>
          <w:tblHeader/>
        </w:trPr>
        <w:tc>
          <w:tcPr>
            <w:tcW w:type="dxa" w:w="2495"/>
            <w:shd w:fill="EDEDED" w:val="clear"/>
            <w:tcMar>
              <w:top w:type="dxa" w:w="60"/>
              <w:left w:type="dxa" w:w="100"/>
              <w:bottom w:type="dxa" w:w="60"/>
              <w:right w:type="dxa" w:w="100"/>
            </w:tcMar>
          </w:tcPr>
          <w:p>
            <w:pPr>
              <w:spacing w:after="0" w:before="0"/>
            </w:pPr>
            <w:r>
              <w:rPr>
                <w:b/>
                <w:bCs/>
                <w:i w:val="false"/>
                <w:iCs w:val="false"/>
              </w:rPr>
              <w:t xml:space="preserve">Role</w:t>
            </w:r>
          </w:p>
        </w:tc>
        <w:tc>
          <w:tcPr>
            <w:tcW w:type="dxa" w:w="6525"/>
            <w:shd w:fill="EDEDED" w:val="clear"/>
            <w:tcMar>
              <w:top w:type="dxa" w:w="60"/>
              <w:left w:type="dxa" w:w="100"/>
              <w:bottom w:type="dxa" w:w="60"/>
              <w:right w:type="dxa" w:w="100"/>
            </w:tcMar>
          </w:tcPr>
          <w:p>
            <w:pPr>
              <w:spacing w:after="0" w:before="0"/>
            </w:pPr>
            <w:r>
              <w:rPr>
                <w:b/>
                <w:bCs/>
                <w:i w:val="false"/>
                <w:iCs w:val="false"/>
              </w:rPr>
              <w:t xml:space="preserve">Change responsibilities and engagement</w:t>
            </w:r>
          </w:p>
        </w:tc>
      </w:tr>
      <w:tr>
        <w:tc>
          <w:tcPr>
            <w:tcW w:type="dxa" w:w="2495"/>
            <w:tcMar>
              <w:top w:type="dxa" w:w="60"/>
              <w:left w:type="dxa" w:w="100"/>
              <w:bottom w:type="dxa" w:w="60"/>
              <w:right w:type="dxa" w:w="100"/>
            </w:tcMar>
          </w:tcPr>
          <w:p>
            <w:pPr>
              <w:spacing w:after="0" w:before="0"/>
            </w:pPr>
            <w:r>
              <w:rPr>
                <w:b w:val="false"/>
                <w:bCs w:val="false"/>
                <w:i w:val="false"/>
                <w:iCs w:val="false"/>
              </w:rPr>
              <w:t xml:space="preserve">Training and Change Management Specialist</w:t>
            </w:r>
          </w:p>
        </w:tc>
        <w:tc>
          <w:tcPr>
            <w:tcW w:type="dxa" w:w="6525"/>
            <w:tcMar>
              <w:top w:type="dxa" w:w="60"/>
              <w:left w:type="dxa" w:w="100"/>
              <w:bottom w:type="dxa" w:w="60"/>
              <w:right w:type="dxa" w:w="100"/>
            </w:tcMar>
          </w:tcPr>
          <w:p>
            <w:pPr>
              <w:spacing w:after="0" w:before="0"/>
            </w:pPr>
            <w:r>
              <w:rPr>
                <w:b w:val="false"/>
                <w:bCs w:val="false"/>
                <w:i w:val="false"/>
                <w:iCs w:val="false"/>
              </w:rPr>
              <w:t xml:space="preserve">Owns this plan: impact on each group, support to NRB's engagement, procedure adoption, readiness evidence at each gate, and reinforcement after go-live. Also leads the training program, as in Preliminary Project Plan Section 3.8. Weeks 1 to 32, on site from week 15</w:t>
            </w:r>
          </w:p>
        </w:tc>
      </w:tr>
      <w:tr>
        <w:tc>
          <w:tcPr>
            <w:tcW w:type="dxa" w:w="2495"/>
            <w:tcMar>
              <w:top w:type="dxa" w:w="60"/>
              <w:left w:type="dxa" w:w="100"/>
              <w:bottom w:type="dxa" w:w="60"/>
              <w:right w:type="dxa" w:w="100"/>
            </w:tcMar>
          </w:tcPr>
          <w:p>
            <w:pPr>
              <w:spacing w:after="0" w:before="0"/>
            </w:pPr>
            <w:r>
              <w:rPr>
                <w:b w:val="false"/>
                <w:bCs w:val="false"/>
                <w:i w:val="false"/>
                <w:iCs w:val="false"/>
              </w:rPr>
              <w:t xml:space="preserve">Supplier's Representative</w:t>
            </w:r>
          </w:p>
        </w:tc>
        <w:tc>
          <w:tcPr>
            <w:tcW w:type="dxa" w:w="6525"/>
            <w:tcMar>
              <w:top w:type="dxa" w:w="60"/>
              <w:left w:type="dxa" w:w="100"/>
              <w:bottom w:type="dxa" w:w="60"/>
              <w:right w:type="dxa" w:w="100"/>
            </w:tcMar>
          </w:tcPr>
          <w:p>
            <w:pPr>
              <w:spacing w:after="0" w:before="0"/>
            </w:pPr>
            <w:r>
              <w:rPr>
                <w:b w:val="false"/>
                <w:bCs w:val="false"/>
                <w:i w:val="false"/>
                <w:iCs w:val="false"/>
              </w:rPr>
              <w:t xml:space="preserve">Coordination with the Purchaser's Project Manager; Monthly Progress Report</w:t>
            </w:r>
          </w:p>
        </w:tc>
      </w:tr>
      <w:tr>
        <w:tc>
          <w:tcPr>
            <w:tcW w:type="dxa" w:w="2495"/>
            <w:tcMar>
              <w:top w:type="dxa" w:w="60"/>
              <w:left w:type="dxa" w:w="100"/>
              <w:bottom w:type="dxa" w:w="60"/>
              <w:right w:type="dxa" w:w="100"/>
            </w:tcMar>
          </w:tcPr>
          <w:p>
            <w:pPr>
              <w:spacing w:after="0" w:before="0"/>
            </w:pPr>
            <w:r>
              <w:rPr>
                <w:b w:val="false"/>
                <w:bCs w:val="false"/>
                <w:i w:val="false"/>
                <w:iCs w:val="false"/>
              </w:rPr>
              <w:t xml:space="preserve">Solution Architect</w:t>
            </w:r>
          </w:p>
        </w:tc>
        <w:tc>
          <w:tcPr>
            <w:tcW w:type="dxa" w:w="6525"/>
            <w:tcMar>
              <w:top w:type="dxa" w:w="60"/>
              <w:left w:type="dxa" w:w="100"/>
              <w:bottom w:type="dxa" w:w="60"/>
              <w:right w:type="dxa" w:w="100"/>
            </w:tcMar>
          </w:tcPr>
          <w:p>
            <w:pPr>
              <w:spacing w:after="0" w:before="0"/>
            </w:pPr>
            <w:r>
              <w:rPr>
                <w:b w:val="false"/>
                <w:bCs w:val="false"/>
                <w:i w:val="false"/>
                <w:iCs w:val="false"/>
              </w:rPr>
              <w:t xml:space="preserve">Impact analysis of technical changes; Supplier technical lead on the change board until handover</w:t>
            </w:r>
          </w:p>
        </w:tc>
      </w:tr>
      <w:tr>
        <w:tc>
          <w:tcPr>
            <w:tcW w:type="dxa" w:w="2495"/>
            <w:tcMar>
              <w:top w:type="dxa" w:w="60"/>
              <w:left w:type="dxa" w:w="100"/>
              <w:bottom w:type="dxa" w:w="60"/>
              <w:right w:type="dxa" w:w="100"/>
            </w:tcMar>
          </w:tcPr>
          <w:p>
            <w:pPr>
              <w:spacing w:after="0" w:before="0"/>
            </w:pPr>
            <w:r>
              <w:rPr>
                <w:b w:val="false"/>
                <w:bCs w:val="false"/>
                <w:i w:val="false"/>
                <w:iCs w:val="false"/>
              </w:rPr>
              <w:t xml:space="preserve">Software Integration Specialist</w:t>
            </w:r>
          </w:p>
        </w:tc>
        <w:tc>
          <w:tcPr>
            <w:tcW w:type="dxa" w:w="6525"/>
            <w:tcMar>
              <w:top w:type="dxa" w:w="60"/>
              <w:left w:type="dxa" w:w="100"/>
              <w:bottom w:type="dxa" w:w="60"/>
              <w:right w:type="dxa" w:w="100"/>
            </w:tcMar>
          </w:tcPr>
          <w:p>
            <w:pPr>
              <w:spacing w:after="0" w:before="0"/>
            </w:pPr>
            <w:r>
              <w:rPr>
                <w:b w:val="false"/>
                <w:bCs w:val="false"/>
                <w:i w:val="false"/>
                <w:iCs w:val="false"/>
              </w:rPr>
              <w:t xml:space="preserve">Software releases and interface changes</w:t>
            </w:r>
          </w:p>
        </w:tc>
      </w:tr>
      <w:tr>
        <w:tc>
          <w:tcPr>
            <w:tcW w:type="dxa" w:w="2495"/>
            <w:tcMar>
              <w:top w:type="dxa" w:w="60"/>
              <w:left w:type="dxa" w:w="100"/>
              <w:bottom w:type="dxa" w:w="60"/>
              <w:right w:type="dxa" w:w="100"/>
            </w:tcMar>
          </w:tcPr>
          <w:p>
            <w:pPr>
              <w:spacing w:after="0" w:before="0"/>
            </w:pPr>
            <w:r>
              <w:rPr>
                <w:b w:val="false"/>
                <w:bCs w:val="false"/>
                <w:i w:val="false"/>
                <w:iCs w:val="false"/>
              </w:rPr>
              <w:t xml:space="preserve">Secure Personalization System Engineer and Card Mailing System Engineer, with the equipment manufacturer</w:t>
            </w:r>
          </w:p>
        </w:tc>
        <w:tc>
          <w:tcPr>
            <w:tcW w:type="dxa" w:w="6525"/>
            <w:tcMar>
              <w:top w:type="dxa" w:w="60"/>
              <w:left w:type="dxa" w:w="100"/>
              <w:bottom w:type="dxa" w:w="60"/>
              <w:right w:type="dxa" w:w="100"/>
            </w:tcMar>
          </w:tcPr>
          <w:p>
            <w:pPr>
              <w:spacing w:after="0" w:before="0"/>
            </w:pPr>
            <w:r>
              <w:rPr>
                <w:b w:val="false"/>
                <w:bCs w:val="false"/>
                <w:i w:val="false"/>
                <w:iCs w:val="false"/>
              </w:rPr>
              <w:t xml:space="preserve">Equipment and firmware changes; content of the procedures for the production and mailing lines</w:t>
            </w:r>
          </w:p>
        </w:tc>
      </w:tr>
      <w:tr>
        <w:tc>
          <w:tcPr>
            <w:tcW w:type="dxa" w:w="2495"/>
            <w:tcMar>
              <w:top w:type="dxa" w:w="60"/>
              <w:left w:type="dxa" w:w="100"/>
              <w:bottom w:type="dxa" w:w="60"/>
              <w:right w:type="dxa" w:w="100"/>
            </w:tcMar>
          </w:tcPr>
          <w:p>
            <w:pPr>
              <w:spacing w:after="0" w:before="0"/>
            </w:pPr>
            <w:r>
              <w:rPr>
                <w:b w:val="false"/>
                <w:bCs w:val="false"/>
                <w:i w:val="false"/>
                <w:iCs w:val="false"/>
              </w:rPr>
              <w:t xml:space="preserve">Cybersecurity and PKI Specialist</w:t>
            </w:r>
          </w:p>
        </w:tc>
        <w:tc>
          <w:tcPr>
            <w:tcW w:type="dxa" w:w="6525"/>
            <w:tcMar>
              <w:top w:type="dxa" w:w="60"/>
              <w:left w:type="dxa" w:w="100"/>
              <w:bottom w:type="dxa" w:w="60"/>
              <w:right w:type="dxa" w:w="100"/>
            </w:tcMar>
          </w:tcPr>
          <w:p>
            <w:pPr>
              <w:spacing w:after="0" w:before="0"/>
            </w:pPr>
            <w:r>
              <w:rPr>
                <w:b w:val="false"/>
                <w:bCs w:val="false"/>
                <w:i w:val="false"/>
                <w:iCs w:val="false"/>
              </w:rPr>
              <w:t xml:space="preserve">Security impact of changes; incident manager for emergency changes until handover</w:t>
            </w:r>
          </w:p>
        </w:tc>
      </w:tr>
      <w:tr>
        <w:tc>
          <w:tcPr>
            <w:tcW w:type="dxa" w:w="2495"/>
            <w:tcMar>
              <w:top w:type="dxa" w:w="60"/>
              <w:left w:type="dxa" w:w="100"/>
              <w:bottom w:type="dxa" w:w="60"/>
              <w:right w:type="dxa" w:w="100"/>
            </w:tcMar>
          </w:tcPr>
          <w:p>
            <w:pPr>
              <w:spacing w:after="0" w:before="0"/>
            </w:pPr>
            <w:r>
              <w:rPr>
                <w:b w:val="false"/>
                <w:bCs w:val="false"/>
                <w:i w:val="false"/>
                <w:iCs w:val="false"/>
              </w:rPr>
              <w:t xml:space="preserve">NRB process owners, ICT manager and trainers</w:t>
            </w:r>
          </w:p>
        </w:tc>
        <w:tc>
          <w:tcPr>
            <w:tcW w:type="dxa" w:w="6525"/>
            <w:tcMar>
              <w:top w:type="dxa" w:w="60"/>
              <w:left w:type="dxa" w:w="100"/>
              <w:bottom w:type="dxa" w:w="60"/>
              <w:right w:type="dxa" w:w="100"/>
            </w:tcMar>
          </w:tcPr>
          <w:p>
            <w:pPr>
              <w:spacing w:after="0" w:before="0"/>
            </w:pPr>
            <w:r>
              <w:rPr>
                <w:b w:val="false"/>
                <w:bCs w:val="false"/>
                <w:i w:val="false"/>
                <w:iCs w:val="false"/>
              </w:rPr>
              <w:t xml:space="preserve">Counterparts who take over each process, the change-control roles and the training of new staff</w:t>
            </w:r>
          </w:p>
        </w:tc>
      </w:tr>
    </w:tbl>
    <w:p>
      <w:pPr>
        <w:spacing w:after="140"/>
      </w:pPr>
    </w:p>
    <w:p>
      <w:pPr>
        <w:spacing w:after="140" w:line="276"/>
      </w:pPr>
      <w:r>
        <w:rPr>
          <w:b w:val="false"/>
          <w:bCs w:val="false"/>
          <w:i w:val="false"/>
          <w:iCs w:val="false"/>
        </w:rPr>
        <w:t xml:space="preserve">The Training and Change Management Specialist meets Section VII clause 2.4.1.11: a degree in ICT, education or human resource development, trainer certification, change management certification, Prosci preferred, and at least five years delivering ICT training to government staff, operators and technical administrators. The CV and certificates are provided with the Key Personnel forms.</w:t>
      </w:r>
    </w:p>
    <w:p>
      <w:pPr>
        <w:pStyle w:val="Heading2"/>
        <w:numPr>
          <w:ilvl w:val="1"/>
          <w:numId w:val="2"/>
        </w:numPr>
        <w:spacing w:after="140" w:before="260"/>
      </w:pPr>
      <w:r>
        <w:t xml:space="preserve">C</w:t>
      </w:r>
      <w:bookmarkStart w:name="sec_6_2" w:id="1"/>
      <w:r>
        <w:rPr>
          <w:b w:val="false"/>
          <w:bCs w:val="false"/>
          <w:i w:val="false"/>
          <w:iCs w:val="false"/>
        </w:rPr>
        <w:t xml:space="preserve">apacity building and knowledge transfer</w:t>
      </w:r>
      <w:bookmarkEnd w:id="1"/>
    </w:p>
    <w:p>
      <w:pPr>
        <w:spacing w:after="140" w:line="276"/>
      </w:pPr>
      <w:r>
        <w:rPr>
          <w:b w:val="false"/>
          <w:bCs w:val="false"/>
          <w:i w:val="false"/>
          <w:iCs w:val="false"/>
        </w:rPr>
        <w:t xml:space="preserve">The staged transfer of responsibility to NRB, from factory training to independent operation, is the knowledge transfer plan of Preliminary Project Plan Section 3.1 and is not repeated here. The change side adds the transfers below.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88"/>
        <w:gridCol w:w="4657"/>
        <w:gridCol w:w="2975"/>
      </w:tblGrid>
      <w:tr>
        <w:trPr>
          <w:tblHeader/>
        </w:trPr>
        <w:tc>
          <w:tcPr>
            <w:tcW w:type="dxa" w:w="1388"/>
            <w:shd w:fill="EDEDED" w:val="clear"/>
            <w:tcMar>
              <w:top w:type="dxa" w:w="60"/>
              <w:left w:type="dxa" w:w="100"/>
              <w:bottom w:type="dxa" w:w="60"/>
              <w:right w:type="dxa" w:w="100"/>
            </w:tcMar>
          </w:tcPr>
          <w:p>
            <w:pPr>
              <w:spacing w:after="0" w:before="0"/>
            </w:pPr>
            <w:r>
              <w:rPr>
                <w:b/>
                <w:bCs/>
                <w:i w:val="false"/>
                <w:iCs w:val="false"/>
              </w:rPr>
              <w:t xml:space="preserve">What NRB takes over</w:t>
            </w:r>
          </w:p>
        </w:tc>
        <w:tc>
          <w:tcPr>
            <w:tcW w:type="dxa" w:w="4657"/>
            <w:shd w:fill="EDEDED" w:val="clear"/>
            <w:tcMar>
              <w:top w:type="dxa" w:w="60"/>
              <w:left w:type="dxa" w:w="100"/>
              <w:bottom w:type="dxa" w:w="60"/>
              <w:right w:type="dxa" w:w="100"/>
            </w:tcMar>
          </w:tcPr>
          <w:p>
            <w:pPr>
              <w:spacing w:after="0" w:before="0"/>
            </w:pPr>
            <w:r>
              <w:rPr>
                <w:b/>
                <w:bCs/>
                <w:i w:val="false"/>
                <w:iCs w:val="false"/>
              </w:rPr>
              <w:t xml:space="preserve">How</w:t>
            </w:r>
          </w:p>
        </w:tc>
        <w:tc>
          <w:tcPr>
            <w:tcW w:type="dxa" w:w="2975"/>
            <w:shd w:fill="EDEDED" w:val="clear"/>
            <w:tcMar>
              <w:top w:type="dxa" w:w="60"/>
              <w:left w:type="dxa" w:w="100"/>
              <w:bottom w:type="dxa" w:w="60"/>
              <w:right w:type="dxa" w:w="100"/>
            </w:tcMar>
          </w:tcPr>
          <w:p>
            <w:pPr>
              <w:spacing w:after="0" w:before="0"/>
            </w:pPr>
            <w:r>
              <w:rPr>
                <w:b/>
                <w:bCs/>
                <w:i w:val="false"/>
                <w:iCs w:val="false"/>
              </w:rPr>
              <w:t xml:space="preserve">Transfer criterion</w:t>
            </w:r>
          </w:p>
        </w:tc>
      </w:tr>
      <w:tr>
        <w:tc>
          <w:tcPr>
            <w:tcW w:type="dxa" w:w="1388"/>
            <w:tcMar>
              <w:top w:type="dxa" w:w="60"/>
              <w:left w:type="dxa" w:w="100"/>
              <w:bottom w:type="dxa" w:w="60"/>
              <w:right w:type="dxa" w:w="100"/>
            </w:tcMar>
          </w:tcPr>
          <w:p>
            <w:pPr>
              <w:spacing w:after="0" w:before="0"/>
            </w:pPr>
            <w:r>
              <w:rPr>
                <w:b w:val="false"/>
                <w:bCs w:val="false"/>
                <w:i w:val="false"/>
                <w:iCs w:val="false"/>
              </w:rPr>
              <w:t xml:space="preserve">Process and procedure ownership</w:t>
            </w:r>
          </w:p>
        </w:tc>
        <w:tc>
          <w:tcPr>
            <w:tcW w:type="dxa" w:w="4657"/>
            <w:tcMar>
              <w:top w:type="dxa" w:w="60"/>
              <w:left w:type="dxa" w:w="100"/>
              <w:bottom w:type="dxa" w:w="60"/>
              <w:right w:type="dxa" w:w="100"/>
            </w:tcMar>
          </w:tcPr>
          <w:p>
            <w:pPr>
              <w:spacing w:after="0" w:before="0"/>
            </w:pPr>
            <w:r>
              <w:rPr>
                <w:b w:val="false"/>
                <w:bCs w:val="false"/>
                <w:i w:val="false"/>
                <w:iCs w:val="false"/>
              </w:rPr>
              <w:t xml:space="preserve">Procedures written with NRB staff, taught from in training, and corrected in pilot production and coaching</w:t>
            </w:r>
          </w:p>
        </w:tc>
        <w:tc>
          <w:tcPr>
            <w:tcW w:type="dxa" w:w="2975"/>
            <w:tcMar>
              <w:top w:type="dxa" w:w="60"/>
              <w:left w:type="dxa" w:w="100"/>
              <w:bottom w:type="dxa" w:w="60"/>
              <w:right w:type="dxa" w:w="100"/>
            </w:tcMar>
          </w:tcPr>
          <w:p>
            <w:pPr>
              <w:spacing w:after="0" w:before="0"/>
            </w:pPr>
            <w:r>
              <w:rPr>
                <w:b w:val="false"/>
                <w:bCs w:val="false"/>
                <w:i w:val="false"/>
                <w:iCs w:val="false"/>
              </w:rPr>
              <w:t xml:space="preserve">Procedures proven usable in operational acceptance test 16</w:t>
            </w:r>
          </w:p>
        </w:tc>
      </w:tr>
      <w:tr>
        <w:tc>
          <w:tcPr>
            <w:tcW w:type="dxa" w:w="1388"/>
            <w:tcMar>
              <w:top w:type="dxa" w:w="60"/>
              <w:left w:type="dxa" w:w="100"/>
              <w:bottom w:type="dxa" w:w="60"/>
              <w:right w:type="dxa" w:w="100"/>
            </w:tcMar>
          </w:tcPr>
          <w:p>
            <w:pPr>
              <w:spacing w:after="0" w:before="0"/>
            </w:pPr>
            <w:r>
              <w:rPr>
                <w:b w:val="false"/>
                <w:bCs w:val="false"/>
                <w:i w:val="false"/>
                <w:iCs w:val="false"/>
              </w:rPr>
              <w:t xml:space="preserve">Change control</w:t>
            </w:r>
          </w:p>
        </w:tc>
        <w:tc>
          <w:tcPr>
            <w:tcW w:type="dxa" w:w="4657"/>
            <w:tcMar>
              <w:top w:type="dxa" w:w="60"/>
              <w:left w:type="dxa" w:w="100"/>
              <w:bottom w:type="dxa" w:w="60"/>
              <w:right w:type="dxa" w:w="100"/>
            </w:tcMar>
          </w:tcPr>
          <w:p>
            <w:pPr>
              <w:spacing w:after="0" w:before="0"/>
            </w:pPr>
            <w:r>
              <w:rPr>
                <w:b w:val="false"/>
                <w:bCs w:val="false"/>
                <w:i w:val="false"/>
                <w:iCs w:val="false"/>
              </w:rPr>
              <w:t xml:space="preserve">NRB administrators and approvers run changes under observation in weeks 27 to 30</w:t>
            </w:r>
          </w:p>
        </w:tc>
        <w:tc>
          <w:tcPr>
            <w:tcW w:type="dxa" w:w="2975"/>
            <w:tcMar>
              <w:top w:type="dxa" w:w="60"/>
              <w:left w:type="dxa" w:w="100"/>
              <w:bottom w:type="dxa" w:w="60"/>
              <w:right w:type="dxa" w:w="100"/>
            </w:tcMar>
          </w:tcPr>
          <w:p>
            <w:pPr>
              <w:spacing w:after="0" w:before="0"/>
            </w:pPr>
            <w:r>
              <w:rPr>
                <w:b w:val="false"/>
                <w:bCs w:val="false"/>
                <w:i w:val="false"/>
                <w:iCs w:val="false"/>
              </w:rPr>
              <w:t xml:space="preserve">NRB has run a normal change and a rehearsed emergency change end to end, with the Supplier observing</w:t>
            </w:r>
          </w:p>
        </w:tc>
      </w:tr>
      <w:tr>
        <w:tc>
          <w:tcPr>
            <w:tcW w:type="dxa" w:w="1388"/>
            <w:tcMar>
              <w:top w:type="dxa" w:w="60"/>
              <w:left w:type="dxa" w:w="100"/>
              <w:bottom w:type="dxa" w:w="60"/>
              <w:right w:type="dxa" w:w="100"/>
            </w:tcMar>
          </w:tcPr>
          <w:p>
            <w:pPr>
              <w:spacing w:after="0" w:before="0"/>
            </w:pPr>
            <w:r>
              <w:rPr>
                <w:b w:val="false"/>
                <w:bCs w:val="false"/>
                <w:i w:val="false"/>
                <w:iCs w:val="false"/>
              </w:rPr>
              <w:t xml:space="preserve">Training of new staff</w:t>
            </w:r>
          </w:p>
        </w:tc>
        <w:tc>
          <w:tcPr>
            <w:tcW w:type="dxa" w:w="4657"/>
            <w:tcMar>
              <w:top w:type="dxa" w:w="60"/>
              <w:left w:type="dxa" w:w="100"/>
              <w:bottom w:type="dxa" w:w="60"/>
              <w:right w:type="dxa" w:w="100"/>
            </w:tcMar>
          </w:tcPr>
          <w:p>
            <w:pPr>
              <w:spacing w:after="0" w:before="0"/>
            </w:pPr>
            <w:r>
              <w:rPr>
                <w:b w:val="false"/>
                <w:bCs w:val="false"/>
                <w:i w:val="false"/>
                <w:iCs w:val="false"/>
              </w:rPr>
              <w:t xml:space="preserve">Six NRB trainers are certified after delivering the cover group under observation in weeks 27 and 28</w:t>
            </w:r>
          </w:p>
        </w:tc>
        <w:tc>
          <w:tcPr>
            <w:tcW w:type="dxa" w:w="2975"/>
            <w:tcMar>
              <w:top w:type="dxa" w:w="60"/>
              <w:left w:type="dxa" w:w="100"/>
              <w:bottom w:type="dxa" w:w="60"/>
              <w:right w:type="dxa" w:w="100"/>
            </w:tcMar>
          </w:tcPr>
          <w:p>
            <w:pPr>
              <w:spacing w:after="0" w:before="0"/>
            </w:pPr>
            <w:r>
              <w:rPr>
                <w:b w:val="false"/>
                <w:bCs w:val="false"/>
                <w:i w:val="false"/>
                <w:iCs w:val="false"/>
              </w:rPr>
              <w:t xml:space="preserve">Trainer certificates</w:t>
            </w:r>
          </w:p>
        </w:tc>
      </w:tr>
      <w:tr>
        <w:tc>
          <w:tcPr>
            <w:tcW w:type="dxa" w:w="1388"/>
            <w:tcMar>
              <w:top w:type="dxa" w:w="60"/>
              <w:left w:type="dxa" w:w="100"/>
              <w:bottom w:type="dxa" w:w="60"/>
              <w:right w:type="dxa" w:w="100"/>
            </w:tcMar>
          </w:tcPr>
          <w:p>
            <w:pPr>
              <w:spacing w:after="0" w:before="0"/>
            </w:pPr>
            <w:r>
              <w:rPr>
                <w:b w:val="false"/>
                <w:bCs w:val="false"/>
                <w:i w:val="false"/>
                <w:iCs w:val="false"/>
              </w:rPr>
              <w:t xml:space="preserve">Security operations</w:t>
            </w:r>
          </w:p>
        </w:tc>
        <w:tc>
          <w:tcPr>
            <w:tcW w:type="dxa" w:w="4657"/>
            <w:tcMar>
              <w:top w:type="dxa" w:w="60"/>
              <w:left w:type="dxa" w:w="100"/>
              <w:bottom w:type="dxa" w:w="60"/>
              <w:right w:type="dxa" w:w="100"/>
            </w:tcMar>
          </w:tcPr>
          <w:p>
            <w:pPr>
              <w:spacing w:after="0" w:before="0"/>
            </w:pPr>
            <w:r>
              <w:rPr>
                <w:b w:val="false"/>
                <w:bCs w:val="false"/>
                <w:i w:val="false"/>
                <w:iCs w:val="false"/>
              </w:rPr>
              <w:t xml:space="preserve">As set out in Cybersecurity Risk Management Plan Section 9.4</w:t>
            </w:r>
          </w:p>
        </w:tc>
        <w:tc>
          <w:tcPr>
            <w:tcW w:type="dxa" w:w="2975"/>
            <w:tcMar>
              <w:top w:type="dxa" w:w="60"/>
              <w:left w:type="dxa" w:w="100"/>
              <w:bottom w:type="dxa" w:w="60"/>
              <w:right w:type="dxa" w:w="100"/>
            </w:tcMar>
          </w:tcPr>
          <w:p>
            <w:pPr>
              <w:spacing w:after="0" w:before="0"/>
            </w:pPr>
            <w:r>
              <w:rPr>
                <w:b w:val="false"/>
                <w:bCs w:val="false"/>
                <w:i w:val="false"/>
                <w:iCs w:val="false"/>
              </w:rPr>
              <w:t xml:space="preserve">The transfer criteria there</w:t>
            </w:r>
          </w:p>
        </w:tc>
      </w:tr>
    </w:tbl>
    <w:p>
      <w:pPr>
        <w:spacing w:after="140"/>
      </w:pPr>
    </w:p>
    <w:p>
      <w:pPr>
        <w:spacing w:after="140" w:line="276"/>
      </w:pPr>
      <w:r>
        <w:rPr>
          <w:b/>
          <w:bCs/>
          <w:i w:val="false"/>
          <w:iCs w:val="false"/>
        </w:rPr>
        <w:t xml:space="preserve">Reinforcement.</w:t>
      </w:r>
      <w:r>
        <w:rPr>
          <w:b w:val="false"/>
          <w:bCs w:val="false"/>
          <w:i w:val="false"/>
          <w:iCs w:val="false"/>
        </w:rPr>
        <w:t xml:space="preserve"> The change is sustained after go-live. Resident engineers review production with NRB every day during stabilization in weeks 31 and 32. Adoption issues are raised in the monthly service review. NRB's trainers train new staff from the same materials. Users are briefed on each new release before it is applied under change control.</w:t>
      </w:r>
    </w:p>
    <w:p>
      <w:r>
        <w:br w:type="page"/>
      </w:r>
    </w:p>
    <w:p>
      <w:r>
        <w:br w:type="page"/>
      </w:r>
    </w:p>
    <w:p>
      <w:pPr>
        <w:pStyle w:val="Heading1"/>
        <w:numPr>
          <w:ilvl w:val="0"/>
          <w:numId w:val="2"/>
        </w:numPr>
        <w:spacing w:after="140" w:before="240"/>
      </w:pPr>
      <w:r>
        <w:t xml:space="preserve">C</w:t>
      </w:r>
      <w:bookmarkStart w:name="sec_7" w:id="1"/>
      <w:r>
        <w:rPr>
          <w:b w:val="false"/>
          <w:bCs w:val="false"/>
          <w:i w:val="false"/>
          <w:iCs w:val="false"/>
        </w:rPr>
        <w:t xml:space="preserve">ompliance</w:t>
      </w:r>
      <w:bookmarkEnd w:id="1"/>
    </w:p>
    <w:p>
      <w:pPr>
        <w:pStyle w:val="Heading2"/>
        <w:numPr>
          <w:ilvl w:val="1"/>
          <w:numId w:val="2"/>
        </w:numPr>
        <w:spacing w:after="140" w:before="260"/>
      </w:pPr>
      <w:r>
        <w:t xml:space="preserve">C</w:t>
      </w:r>
      <w:bookmarkStart w:name="sec_7_1" w:id="1"/>
      <w:r>
        <w:rPr>
          <w:b w:val="false"/>
          <w:bCs w:val="false"/>
          <w:i w:val="false"/>
          <w:iCs w:val="false"/>
        </w:rPr>
        <w:t xml:space="preserve">ompliance statement</w:t>
      </w:r>
      <w:bookmarkEnd w:id="1"/>
    </w:p>
    <w:p>
      <w:pPr>
        <w:spacing w:after="140" w:line="276"/>
      </w:pPr>
      <w:r>
        <w:rPr>
          <w:b w:val="false"/>
          <w:bCs w:val="false"/>
          <w:i w:val="false"/>
          <w:iCs w:val="false"/>
        </w:rPr>
        <w:t xml:space="preserve">Inkript confirms that, if awarded the Contract, it will:</w:t>
      </w:r>
    </w:p>
    <w:p>
      <w:pPr>
        <w:pStyle w:val="ListParagraph"/>
        <w:numPr>
          <w:ilvl w:val="0"/>
          <w:numId w:val="1"/>
        </w:numPr>
        <w:spacing w:after="60"/>
      </w:pPr>
      <w:r>
        <w:rPr>
          <w:b w:val="false"/>
          <w:bCs w:val="false"/>
          <w:i w:val="false"/>
          <w:iCs w:val="false"/>
        </w:rPr>
        <w:t xml:space="preserve">provide the Training and Change Management Specialist required by Section VII clause 2.4.1.11 throughout supply and installation;</w:t>
      </w:r>
    </w:p>
    <w:p>
      <w:pPr>
        <w:pStyle w:val="ListParagraph"/>
        <w:numPr>
          <w:ilvl w:val="0"/>
          <w:numId w:val="1"/>
        </w:numPr>
        <w:spacing w:after="60"/>
      </w:pPr>
      <w:r>
        <w:rPr>
          <w:b w:val="false"/>
          <w:bCs w:val="false"/>
          <w:i w:val="false"/>
          <w:iCs w:val="false"/>
        </w:rPr>
        <w:t xml:space="preserve">deliver the transition in the sequence and through the readiness gates of </w:t>
      </w:r>
      <w:r>
        <w:rPr>
          <w:b w:val="false"/>
          <w:bCs w:val="false"/>
          <w:i w:val="false"/>
          <w:iCs w:val="false"/>
        </w:rPr>
        <w:t xml:space="preserve">Section 4</w:t>
      </w:r>
      <w:r>
        <w:rPr>
          <w:b w:val="false"/>
          <w:bCs w:val="false"/>
          <w:i w:val="false"/>
          <w:iCs w:val="false"/>
        </w:rPr>
        <w:t xml:space="preserve">, without moving a contractual milestone;</w:t>
      </w:r>
    </w:p>
    <w:p>
      <w:pPr>
        <w:pStyle w:val="ListParagraph"/>
        <w:numPr>
          <w:ilvl w:val="0"/>
          <w:numId w:val="1"/>
        </w:numPr>
        <w:spacing w:after="60"/>
      </w:pPr>
      <w:r>
        <w:rPr>
          <w:b w:val="false"/>
          <w:bCs w:val="false"/>
          <w:i w:val="false"/>
          <w:iCs w:val="false"/>
        </w:rPr>
        <w:t xml:space="preserve">operate the change management framework of Section VII clause 1.4.1.2 for all components through the warranty period, as set out in </w:t>
      </w:r>
      <w:r>
        <w:rPr>
          <w:b w:val="false"/>
          <w:bCs w:val="false"/>
          <w:i w:val="false"/>
          <w:iCs w:val="false"/>
        </w:rPr>
        <w:t xml:space="preserve">Section 5</w:t>
      </w:r>
      <w:r>
        <w:rPr>
          <w:b w:val="false"/>
          <w:bCs w:val="false"/>
          <w:i w:val="false"/>
          <w:iCs w:val="false"/>
        </w:rPr>
        <w:t xml:space="preserve"> and System Architecture Section 12.1;</w:t>
      </w:r>
    </w:p>
    <w:p>
      <w:pPr>
        <w:pStyle w:val="ListParagraph"/>
        <w:numPr>
          <w:ilvl w:val="0"/>
          <w:numId w:val="1"/>
        </w:numPr>
        <w:spacing w:after="60"/>
      </w:pPr>
      <w:r>
        <w:rPr>
          <w:b w:val="false"/>
          <w:bCs w:val="false"/>
          <w:i w:val="false"/>
          <w:iCs w:val="false"/>
        </w:rPr>
        <w:t xml:space="preserve">support NRB's stakeholder engagement under GCC 9.13;</w:t>
      </w:r>
    </w:p>
    <w:p>
      <w:pPr>
        <w:pStyle w:val="ListParagraph"/>
        <w:numPr>
          <w:ilvl w:val="0"/>
          <w:numId w:val="1"/>
        </w:numPr>
        <w:spacing w:after="60"/>
      </w:pPr>
      <w:r>
        <w:rPr>
          <w:b w:val="false"/>
          <w:bCs w:val="false"/>
          <w:i w:val="false"/>
          <w:iCs w:val="false"/>
        </w:rPr>
        <w:t xml:space="preserve">route every change to scope, price or time through GCC 39, and keep the Change Order Log;</w:t>
      </w:r>
    </w:p>
    <w:p>
      <w:pPr>
        <w:pStyle w:val="ListParagraph"/>
        <w:numPr>
          <w:ilvl w:val="0"/>
          <w:numId w:val="1"/>
        </w:numPr>
        <w:spacing w:after="60"/>
      </w:pPr>
      <w:r>
        <w:rPr>
          <w:b w:val="false"/>
          <w:bCs w:val="false"/>
          <w:i w:val="false"/>
          <w:iCs w:val="false"/>
        </w:rPr>
        <w:t xml:space="preserve">agree the requirements freeze date under GCC 39.1.5 in the Project Plan;</w:t>
      </w:r>
    </w:p>
    <w:p>
      <w:pPr>
        <w:pStyle w:val="ListParagraph"/>
        <w:numPr>
          <w:ilvl w:val="0"/>
          <w:numId w:val="1"/>
        </w:numPr>
        <w:spacing w:after="60"/>
      </w:pPr>
      <w:r>
        <w:rPr>
          <w:b w:val="false"/>
          <w:bCs w:val="false"/>
          <w:i w:val="false"/>
          <w:iCs w:val="false"/>
        </w:rPr>
        <w:t xml:space="preserve">report change and readiness status monthly, as set out in </w:t>
      </w:r>
      <w:r>
        <w:rPr>
          <w:b w:val="false"/>
          <w:bCs w:val="false"/>
          <w:i w:val="false"/>
          <w:iCs w:val="false"/>
        </w:rPr>
        <w:t xml:space="preserve">Section </w:t>
      </w:r>
      <w:fldSimple w:instr="REF sec_3_1 \w \h">
        <w:r>
          <w:t xml:space="preserve">3.1</w:t>
        </w:r>
      </w:fldSimple>
      <w:r>
        <w:rPr>
          <w:b w:val="false"/>
          <w:bCs w:val="false"/>
          <w:i w:val="false"/>
          <w:iCs w:val="false"/>
        </w:rPr>
        <w:t xml:space="preserve">.</w:t>
      </w:r>
    </w:p>
    <w:p>
      <w:pPr>
        <w:pStyle w:val="Heading2"/>
        <w:numPr>
          <w:ilvl w:val="1"/>
          <w:numId w:val="2"/>
        </w:numPr>
        <w:spacing w:after="140" w:before="260"/>
      </w:pPr>
      <w:r>
        <w:t xml:space="preserve">R</w:t>
      </w:r>
      <w:bookmarkStart w:name="sec_7_2" w:id="1"/>
      <w:r>
        <w:rPr>
          <w:b w:val="false"/>
          <w:bCs w:val="false"/>
          <w:i w:val="false"/>
          <w:iCs w:val="false"/>
        </w:rPr>
        <w:t xml:space="preserve">equirements compliance matrix</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84"/>
        <w:gridCol w:w="2936"/>
      </w:tblGrid>
      <w:tr>
        <w:trPr>
          <w:tblHeader/>
        </w:trPr>
        <w:tc>
          <w:tcPr>
            <w:tcW w:type="dxa" w:w="6084"/>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2936"/>
            <w:shd w:fill="EDEDED" w:val="clear"/>
            <w:tcMar>
              <w:top w:type="dxa" w:w="60"/>
              <w:left w:type="dxa" w:w="100"/>
              <w:bottom w:type="dxa" w:w="60"/>
              <w:right w:type="dxa" w:w="100"/>
            </w:tcMar>
          </w:tcPr>
          <w:p>
            <w:pPr>
              <w:spacing w:after="0" w:before="0"/>
            </w:pPr>
            <w:r>
              <w:rPr>
                <w:b/>
                <w:bCs/>
                <w:i w:val="false"/>
                <w:iCs w:val="false"/>
              </w:rPr>
              <w:t xml:space="preserve">Response</w:t>
            </w:r>
          </w:p>
        </w:tc>
      </w:tr>
      <w:tr>
        <w:tc>
          <w:tcPr>
            <w:tcW w:type="dxa" w:w="6084"/>
            <w:tcMar>
              <w:top w:type="dxa" w:w="60"/>
              <w:left w:type="dxa" w:w="100"/>
              <w:bottom w:type="dxa" w:w="60"/>
              <w:right w:type="dxa" w:w="100"/>
            </w:tcMar>
          </w:tcPr>
          <w:p>
            <w:pPr>
              <w:spacing w:after="0" w:before="0"/>
            </w:pPr>
            <w:r>
              <w:rPr>
                <w:b/>
                <w:bCs/>
                <w:i w:val="false"/>
                <w:iCs w:val="false"/>
              </w:rPr>
              <w:t xml:space="preserve">Section VII clause 1.4.1.2, Installation and configuration.</w:t>
            </w:r>
            <w:r>
              <w:rPr>
                <w:b w:val="false"/>
                <w:bCs w:val="false"/>
                <w:i w:val="false"/>
                <w:iCs w:val="false"/>
              </w:rPr>
              <w:t xml:space="preserve"> Repeatable installation, centralized and version-controlled configuration, secure baselines, deployment across environments</w:t>
            </w:r>
          </w:p>
        </w:tc>
        <w:tc>
          <w:tcPr>
            <w:tcW w:type="dxa" w:w="2936"/>
            <w:tcMar>
              <w:top w:type="dxa" w:w="60"/>
              <w:left w:type="dxa" w:w="100"/>
              <w:bottom w:type="dxa" w:w="60"/>
              <w:right w:type="dxa" w:w="100"/>
            </w:tcMar>
          </w:tcPr>
          <w:p>
            <w:pPr>
              <w:spacing w:after="0" w:before="0"/>
            </w:pPr>
            <w:r>
              <w:rPr>
                <w:b w:val="false"/>
                <w:bCs w:val="false"/>
                <w:i w:val="false"/>
                <w:iCs w:val="false"/>
              </w:rPr>
              <w:t xml:space="preserve">Complies. System Architecture Section 12.1. The environments are development, training, user acceptance testing and production</w:t>
            </w:r>
          </w:p>
        </w:tc>
      </w:tr>
      <w:tr>
        <w:tc>
          <w:tcPr>
            <w:tcW w:type="dxa" w:w="6084"/>
            <w:tcMar>
              <w:top w:type="dxa" w:w="60"/>
              <w:left w:type="dxa" w:w="100"/>
              <w:bottom w:type="dxa" w:w="60"/>
              <w:right w:type="dxa" w:w="100"/>
            </w:tcMar>
          </w:tcPr>
          <w:p>
            <w:pPr>
              <w:spacing w:after="0" w:before="0"/>
            </w:pPr>
            <w:r>
              <w:rPr>
                <w:b/>
                <w:bCs/>
                <w:i w:val="false"/>
                <w:iCs w:val="false"/>
              </w:rPr>
              <w:t xml:space="preserve">Section VII clause 1.4.1.2, Change management requirements.</w:t>
            </w:r>
            <w:r>
              <w:rPr>
                <w:b w:val="false"/>
                <w:bCs w:val="false"/>
                <w:i w:val="false"/>
                <w:iCs w:val="false"/>
              </w:rPr>
              <w:t xml:space="preserve"> Role-based approval, logging, separation of duties, emergency changes with review, version control, rollback, impact analysis, scheduling and maintenance windows</w:t>
            </w:r>
          </w:p>
        </w:tc>
        <w:tc>
          <w:tcPr>
            <w:tcW w:type="dxa" w:w="2936"/>
            <w:tcMar>
              <w:top w:type="dxa" w:w="60"/>
              <w:left w:type="dxa" w:w="100"/>
              <w:bottom w:type="dxa" w:w="60"/>
              <w:right w:type="dxa" w:w="100"/>
            </w:tcMar>
          </w:tcPr>
          <w:p>
            <w:pPr>
              <w:spacing w:after="0" w:before="0"/>
            </w:pPr>
            <w:r>
              <w:rPr>
                <w:b w:val="false"/>
                <w:bCs w:val="false"/>
                <w:i w:val="false"/>
                <w:iCs w:val="false"/>
              </w:rPr>
              <w:t xml:space="preserve">Complies. System Architecture Section 12.1; </w:t>
            </w:r>
            <w:r>
              <w:rPr>
                <w:b w:val="false"/>
                <w:bCs w:val="false"/>
                <w:i w:val="false"/>
                <w:iCs w:val="false"/>
              </w:rPr>
              <w:t xml:space="preserve">Sections </w:t>
            </w:r>
            <w:fldSimple w:instr="REF sec_5_1 \w \h">
              <w:r>
                <w:t xml:space="preserve">5.1</w:t>
              </w:r>
            </w:fldSimple>
            <w:r>
              <w:rPr>
                <w:b w:val="false"/>
                <w:bCs w:val="false"/>
                <w:i w:val="false"/>
                <w:iCs w:val="false"/>
              </w:rPr>
              <w:t xml:space="preserve"> and </w:t>
            </w:r>
            <w:fldSimple w:instr="REF sec_5_2 \w \h">
              <w:r>
                <w:t xml:space="preserve">5.2</w:t>
              </w:r>
            </w:fldSimple>
          </w:p>
        </w:tc>
      </w:tr>
      <w:tr>
        <w:tc>
          <w:tcPr>
            <w:tcW w:type="dxa" w:w="6084"/>
            <w:tcMar>
              <w:top w:type="dxa" w:w="60"/>
              <w:left w:type="dxa" w:w="100"/>
              <w:bottom w:type="dxa" w:w="60"/>
              <w:right w:type="dxa" w:w="100"/>
            </w:tcMar>
          </w:tcPr>
          <w:p>
            <w:pPr>
              <w:spacing w:after="0" w:before="0"/>
            </w:pPr>
            <w:r>
              <w:rPr>
                <w:b/>
                <w:bCs/>
                <w:i w:val="false"/>
                <w:iCs w:val="false"/>
              </w:rPr>
              <w:t xml:space="preserve">Section VII clause 1.4.1.2, Configuration governance.</w:t>
            </w:r>
            <w:r>
              <w:rPr>
                <w:b w:val="false"/>
                <w:bCs w:val="false"/>
                <w:i w:val="false"/>
                <w:iCs w:val="false"/>
              </w:rPr>
              <w:t xml:space="preserve"> Central repository, audit trail, baselines, compliance enforcement, drift detection</w:t>
            </w:r>
          </w:p>
        </w:tc>
        <w:tc>
          <w:tcPr>
            <w:tcW w:type="dxa" w:w="2936"/>
            <w:tcMar>
              <w:top w:type="dxa" w:w="60"/>
              <w:left w:type="dxa" w:w="100"/>
              <w:bottom w:type="dxa" w:w="60"/>
              <w:right w:type="dxa" w:w="100"/>
            </w:tcMar>
          </w:tcPr>
          <w:p>
            <w:pPr>
              <w:spacing w:after="0" w:before="0"/>
            </w:pPr>
            <w:r>
              <w:rPr>
                <w:b w:val="false"/>
                <w:bCs w:val="false"/>
                <w:i w:val="false"/>
                <w:iCs w:val="false"/>
              </w:rPr>
              <w:t xml:space="preserve">Complies. System Architecture Section 12.1; </w:t>
            </w:r>
            <w:r>
              <w:rPr>
                <w:b w:val="false"/>
                <w:bCs w:val="false"/>
                <w:i w:val="false"/>
                <w:iCs w:val="false"/>
              </w:rPr>
              <w:t xml:space="preserve">Sections </w:t>
            </w:r>
            <w:fldSimple w:instr="REF sec_5_2 \w \h">
              <w:r>
                <w:t xml:space="preserve">5.2</w:t>
              </w:r>
            </w:fldSimple>
            <w:r>
              <w:rPr>
                <w:b w:val="false"/>
                <w:bCs w:val="false"/>
                <w:i w:val="false"/>
                <w:iCs w:val="false"/>
              </w:rPr>
              <w:t xml:space="preserve"> and </w:t>
            </w:r>
            <w:fldSimple w:instr="REF sec_5_3 \w \h">
              <w:r>
                <w:t xml:space="preserve">5.3</w:t>
              </w:r>
            </w:fldSimple>
          </w:p>
        </w:tc>
      </w:tr>
      <w:tr>
        <w:tc>
          <w:tcPr>
            <w:tcW w:type="dxa" w:w="6084"/>
            <w:tcMar>
              <w:top w:type="dxa" w:w="60"/>
              <w:left w:type="dxa" w:w="100"/>
              <w:bottom w:type="dxa" w:w="60"/>
              <w:right w:type="dxa" w:w="100"/>
            </w:tcMar>
          </w:tcPr>
          <w:p>
            <w:pPr>
              <w:spacing w:after="0" w:before="0"/>
            </w:pPr>
            <w:r>
              <w:rPr>
                <w:b/>
                <w:bCs/>
                <w:i w:val="false"/>
                <w:iCs w:val="false"/>
              </w:rPr>
              <w:t xml:space="preserve">Section VII clause 1.5.2.6.</w:t>
            </w:r>
            <w:r>
              <w:rPr>
                <w:b w:val="false"/>
                <w:bCs w:val="false"/>
                <w:i w:val="false"/>
                <w:iCs w:val="false"/>
              </w:rPr>
              <w:t xml:space="preserve"> Maintenance windows with minimal downtime</w:t>
            </w:r>
          </w:p>
        </w:tc>
        <w:tc>
          <w:tcPr>
            <w:tcW w:type="dxa" w:w="2936"/>
            <w:tcMar>
              <w:top w:type="dxa" w:w="60"/>
              <w:left w:type="dxa" w:w="100"/>
              <w:bottom w:type="dxa" w:w="60"/>
              <w:right w:type="dxa" w:w="100"/>
            </w:tcMar>
          </w:tcPr>
          <w:p>
            <w:pPr>
              <w:spacing w:after="0" w:before="0"/>
            </w:pPr>
            <w:r>
              <w:rPr>
                <w:b w:val="false"/>
                <w:bCs w:val="false"/>
                <w:i w:val="false"/>
                <w:iCs w:val="false"/>
              </w:rPr>
              <w:t xml:space="preserve">Complies. System Architecture Section 11.5; </w:t>
            </w:r>
            <w:r>
              <w:rPr>
                <w:b w:val="false"/>
                <w:bCs w:val="false"/>
                <w:i w:val="false"/>
                <w:iCs w:val="false"/>
              </w:rPr>
              <w:t xml:space="preserve">Section </w:t>
            </w:r>
            <w:fldSimple w:instr="REF sec_5_2 \w \h">
              <w:r>
                <w:t xml:space="preserve">5.2</w:t>
              </w:r>
            </w:fldSimple>
          </w:p>
        </w:tc>
      </w:tr>
      <w:tr>
        <w:tc>
          <w:tcPr>
            <w:tcW w:type="dxa" w:w="6084"/>
            <w:tcMar>
              <w:top w:type="dxa" w:w="60"/>
              <w:left w:type="dxa" w:w="100"/>
              <w:bottom w:type="dxa" w:w="60"/>
              <w:right w:type="dxa" w:w="100"/>
            </w:tcMar>
          </w:tcPr>
          <w:p>
            <w:pPr>
              <w:spacing w:after="0" w:before="0"/>
            </w:pPr>
            <w:r>
              <w:rPr>
                <w:b/>
                <w:bCs/>
                <w:i w:val="false"/>
                <w:iCs w:val="false"/>
              </w:rPr>
              <w:t xml:space="preserve">Section VII clause 2.4.1.11.</w:t>
            </w:r>
            <w:r>
              <w:rPr>
                <w:b w:val="false"/>
                <w:bCs w:val="false"/>
                <w:i w:val="false"/>
                <w:iCs w:val="false"/>
              </w:rPr>
              <w:t xml:space="preserve"> Training and Change Management Specialist</w:t>
            </w:r>
          </w:p>
        </w:tc>
        <w:tc>
          <w:tcPr>
            <w:tcW w:type="dxa" w:w="2936"/>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 </w:t>
            </w:r>
            <w:fldSimple w:instr="REF sec_6_1 \w \h">
              <w:r>
                <w:t xml:space="preserve">6.1</w:t>
              </w:r>
            </w:fldSimple>
          </w:p>
        </w:tc>
      </w:tr>
      <w:tr>
        <w:tc>
          <w:tcPr>
            <w:tcW w:type="dxa" w:w="6084"/>
            <w:tcMar>
              <w:top w:type="dxa" w:w="60"/>
              <w:left w:type="dxa" w:w="100"/>
              <w:bottom w:type="dxa" w:w="60"/>
              <w:right w:type="dxa" w:w="100"/>
            </w:tcMar>
          </w:tcPr>
          <w:p>
            <w:pPr>
              <w:spacing w:after="0" w:before="0"/>
            </w:pPr>
            <w:r>
              <w:rPr>
                <w:b/>
                <w:bCs/>
                <w:i w:val="false"/>
                <w:iCs w:val="false"/>
              </w:rPr>
              <w:t xml:space="preserve">Section VII clause 2.2.</w:t>
            </w:r>
            <w:r>
              <w:rPr>
                <w:b w:val="false"/>
                <w:bCs w:val="false"/>
                <w:i w:val="false"/>
                <w:iCs w:val="false"/>
              </w:rPr>
              <w:t xml:space="preserve"> On-the-job operational coaching; shadow support during commissioning</w:t>
            </w:r>
          </w:p>
        </w:tc>
        <w:tc>
          <w:tcPr>
            <w:tcW w:type="dxa" w:w="2936"/>
            <w:tcMar>
              <w:top w:type="dxa" w:w="60"/>
              <w:left w:type="dxa" w:w="100"/>
              <w:bottom w:type="dxa" w:w="60"/>
              <w:right w:type="dxa" w:w="100"/>
            </w:tcMar>
          </w:tcPr>
          <w:p>
            <w:pPr>
              <w:spacing w:after="0" w:before="0"/>
            </w:pPr>
            <w:r>
              <w:rPr>
                <w:b w:val="false"/>
                <w:bCs w:val="false"/>
                <w:i w:val="false"/>
                <w:iCs w:val="false"/>
              </w:rPr>
              <w:t xml:space="preserve">Complies. Preliminary Project Plan Section 3.1</w:t>
            </w:r>
          </w:p>
        </w:tc>
      </w:tr>
      <w:tr>
        <w:tc>
          <w:tcPr>
            <w:tcW w:type="dxa" w:w="6084"/>
            <w:tcMar>
              <w:top w:type="dxa" w:w="60"/>
              <w:left w:type="dxa" w:w="100"/>
              <w:bottom w:type="dxa" w:w="60"/>
              <w:right w:type="dxa" w:w="100"/>
            </w:tcMar>
          </w:tcPr>
          <w:p>
            <w:pPr>
              <w:spacing w:after="0" w:before="0"/>
            </w:pPr>
            <w:r>
              <w:rPr>
                <w:b/>
                <w:bCs/>
                <w:i w:val="false"/>
                <w:iCs w:val="false"/>
              </w:rPr>
              <w:t xml:space="preserve">Operational acceptance tests 13, 16 and 17.</w:t>
            </w:r>
            <w:r>
              <w:rPr>
                <w:b w:val="false"/>
                <w:bCs w:val="false"/>
                <w:i w:val="false"/>
                <w:iCs w:val="false"/>
              </w:rPr>
              <w:t xml:space="preserve"> Multi-shift operation, operational independence, final acceptance demonstration</w:t>
            </w:r>
          </w:p>
        </w:tc>
        <w:tc>
          <w:tcPr>
            <w:tcW w:type="dxa" w:w="2936"/>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 </w:t>
            </w:r>
            <w:fldSimple w:instr="REF sec_4_2 \w \h">
              <w:r>
                <w:t xml:space="preserve">4.2</w:t>
              </w:r>
            </w:fldSimple>
            <w:r>
              <w:rPr>
                <w:b w:val="false"/>
                <w:bCs w:val="false"/>
                <w:i w:val="false"/>
                <w:iCs w:val="false"/>
              </w:rPr>
              <w:t xml:space="preserve">; Preliminary Project Plan Section 4.6</w:t>
            </w:r>
          </w:p>
        </w:tc>
      </w:tr>
      <w:tr>
        <w:tc>
          <w:tcPr>
            <w:tcW w:type="dxa" w:w="6084"/>
            <w:tcMar>
              <w:top w:type="dxa" w:w="60"/>
              <w:left w:type="dxa" w:w="100"/>
              <w:bottom w:type="dxa" w:w="60"/>
              <w:right w:type="dxa" w:w="100"/>
            </w:tcMar>
          </w:tcPr>
          <w:p>
            <w:pPr>
              <w:spacing w:after="0" w:before="0"/>
            </w:pPr>
            <w:r>
              <w:rPr>
                <w:b/>
                <w:bCs/>
                <w:i w:val="false"/>
                <w:iCs w:val="false"/>
              </w:rPr>
              <w:t xml:space="preserve">GCC 9.13.</w:t>
            </w:r>
            <w:r>
              <w:rPr>
                <w:b w:val="false"/>
                <w:bCs w:val="false"/>
                <w:i w:val="false"/>
                <w:iCs w:val="false"/>
              </w:rPr>
              <w:t xml:space="preserve"> Stakeholder engagement</w:t>
            </w:r>
          </w:p>
        </w:tc>
        <w:tc>
          <w:tcPr>
            <w:tcW w:type="dxa" w:w="2936"/>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 </w:t>
            </w:r>
            <w:fldSimple w:instr="REF sec_2_2 \w \h">
              <w:r>
                <w:t xml:space="preserve">2.2</w:t>
              </w:r>
            </w:fldSimple>
          </w:p>
        </w:tc>
      </w:tr>
      <w:tr>
        <w:tc>
          <w:tcPr>
            <w:tcW w:type="dxa" w:w="6084"/>
            <w:tcMar>
              <w:top w:type="dxa" w:w="60"/>
              <w:left w:type="dxa" w:w="100"/>
              <w:bottom w:type="dxa" w:w="60"/>
              <w:right w:type="dxa" w:w="100"/>
            </w:tcMar>
          </w:tcPr>
          <w:p>
            <w:pPr>
              <w:spacing w:after="0" w:before="0"/>
            </w:pPr>
            <w:r>
              <w:rPr>
                <w:b/>
                <w:bCs/>
                <w:i w:val="false"/>
                <w:iCs w:val="false"/>
              </w:rPr>
              <w:t xml:space="preserve">GCC 39.1.5.</w:t>
            </w:r>
            <w:r>
              <w:rPr>
                <w:b w:val="false"/>
                <w:bCs w:val="false"/>
                <w:i w:val="false"/>
                <w:iCs w:val="false"/>
              </w:rPr>
              <w:t xml:space="preserve"> Requirements freeze</w:t>
            </w:r>
          </w:p>
        </w:tc>
        <w:tc>
          <w:tcPr>
            <w:tcW w:type="dxa" w:w="2936"/>
            <w:tcMar>
              <w:top w:type="dxa" w:w="60"/>
              <w:left w:type="dxa" w:w="100"/>
              <w:bottom w:type="dxa" w:w="60"/>
              <w:right w:type="dxa" w:w="100"/>
            </w:tcMar>
          </w:tcPr>
          <w:p>
            <w:pPr>
              <w:spacing w:after="0" w:before="0"/>
            </w:pPr>
            <w:r>
              <w:rPr>
                <w:b w:val="false"/>
                <w:bCs w:val="false"/>
                <w:i w:val="false"/>
                <w:iCs w:val="false"/>
              </w:rPr>
              <w:t xml:space="preserve">Complies. </w:t>
            </w:r>
            <w:r>
              <w:rPr>
                <w:b w:val="false"/>
                <w:bCs w:val="false"/>
                <w:i w:val="false"/>
                <w:iCs w:val="false"/>
              </w:rPr>
              <w:t xml:space="preserve">Section </w:t>
            </w:r>
            <w:fldSimple w:instr="REF sec_5_3 \w \h">
              <w:r>
                <w:t xml:space="preserve">5.3</w:t>
              </w:r>
            </w:fldSimple>
          </w:p>
        </w:tc>
      </w:tr>
    </w:tbl>
    <w:p>
      <w:pPr>
        <w:spacing w:after="140"/>
      </w:pPr>
    </w:p>
    <w:p>
      <w:pPr>
        <w:pStyle w:val="Heading2"/>
        <w:numPr>
          <w:ilvl w:val="1"/>
          <w:numId w:val="2"/>
        </w:numPr>
        <w:spacing w:after="140" w:before="260"/>
      </w:pPr>
      <w:r>
        <w:t xml:space="preserve">E</w:t>
      </w:r>
      <w:bookmarkStart w:name="sec_7_3" w:id="1"/>
      <w:r>
        <w:rPr>
          <w:b w:val="false"/>
          <w:bCs w:val="false"/>
          <w:i w:val="false"/>
          <w:iCs w:val="false"/>
        </w:rPr>
        <w:t xml:space="preserve">vidence of past implementation</w:t>
      </w:r>
      <w:bookmarkEnd w:id="1"/>
    </w:p>
    <w:p>
      <w:pPr>
        <w:spacing w:after="140" w:line="276"/>
      </w:pPr>
      <w:r>
        <w:rPr>
          <w:b/>
          <w:bCs/>
          <w:i w:val="false"/>
          <w:iCs w:val="false"/>
        </w:rPr>
        <w:t xml:space="preserve">Attached to the Technical Proposal.</w:t>
      </w:r>
      <w:r>
        <w:rPr>
          <w:b w:val="false"/>
          <w:bCs w:val="false"/>
          <w:i w:val="false"/>
          <w:iCs w:val="false"/>
        </w:rPr>
        <w:t xml:space="preserve"> The CV and certificates of the Training and Change Management Specialist, including the change management certification.</w:t>
      </w:r>
    </w:p>
    <w:p>
      <w:pPr>
        <w:spacing w:after="140" w:line="276"/>
      </w:pPr>
      <w:r>
        <w:rPr>
          <w:b/>
          <w:bCs/>
          <w:i w:val="false"/>
          <w:iCs w:val="false"/>
        </w:rPr>
        <w:t xml:space="preserve">Past implementation.</w:t>
      </w:r>
      <w:r>
        <w:rPr>
          <w:b w:val="false"/>
          <w:bCs w:val="false"/>
          <w:i w:val="false"/>
          <w:iCs w:val="false"/>
        </w:rPr>
        <w:t xml:space="preserve"> [Inkript to complete with two or three references and attach the client letters. The references in Cybersecurity Risk Management Plan Section 11.3 may be used, described here by their transition and change scope.]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15"/>
        <w:gridCol w:w="5884"/>
        <w:gridCol w:w="1121"/>
      </w:tblGrid>
      <w:tr>
        <w:trPr>
          <w:tblHeader/>
        </w:trPr>
        <w:tc>
          <w:tcPr>
            <w:tcW w:type="dxa" w:w="2015"/>
            <w:shd w:fill="EDEDED" w:val="clear"/>
            <w:tcMar>
              <w:top w:type="dxa" w:w="60"/>
              <w:left w:type="dxa" w:w="100"/>
              <w:bottom w:type="dxa" w:w="60"/>
              <w:right w:type="dxa" w:w="100"/>
            </w:tcMar>
          </w:tcPr>
          <w:p>
            <w:pPr>
              <w:spacing w:after="0" w:before="0"/>
            </w:pPr>
            <w:r>
              <w:rPr>
                <w:b/>
                <w:bCs/>
                <w:i w:val="false"/>
                <w:iCs w:val="false"/>
              </w:rPr>
              <w:t xml:space="preserve">Project, client, country and period</w:t>
            </w:r>
          </w:p>
        </w:tc>
        <w:tc>
          <w:tcPr>
            <w:tcW w:type="dxa" w:w="5884"/>
            <w:shd w:fill="EDEDED" w:val="clear"/>
            <w:tcMar>
              <w:top w:type="dxa" w:w="60"/>
              <w:left w:type="dxa" w:w="100"/>
              <w:bottom w:type="dxa" w:w="60"/>
              <w:right w:type="dxa" w:w="100"/>
            </w:tcMar>
          </w:tcPr>
          <w:p>
            <w:pPr>
              <w:spacing w:after="0" w:before="0"/>
            </w:pPr>
            <w:r>
              <w:rPr>
                <w:b/>
                <w:bCs/>
                <w:i w:val="false"/>
                <w:iCs w:val="false"/>
              </w:rPr>
              <w:t xml:space="preserve">Transition and change scope comparable to this Contract</w:t>
            </w:r>
          </w:p>
        </w:tc>
        <w:tc>
          <w:tcPr>
            <w:tcW w:type="dxa" w:w="1121"/>
            <w:shd w:fill="EDEDED" w:val="clear"/>
            <w:tcMar>
              <w:top w:type="dxa" w:w="60"/>
              <w:left w:type="dxa" w:w="100"/>
              <w:bottom w:type="dxa" w:w="60"/>
              <w:right w:type="dxa" w:w="100"/>
            </w:tcMar>
          </w:tcPr>
          <w:p>
            <w:pPr>
              <w:spacing w:after="0" w:before="0"/>
            </w:pPr>
            <w:r>
              <w:rPr>
                <w:b/>
                <w:bCs/>
                <w:i w:val="false"/>
                <w:iCs w:val="false"/>
              </w:rPr>
              <w:t xml:space="preserve">Evidence attached</w:t>
            </w:r>
          </w:p>
        </w:tc>
      </w:tr>
      <w:tr>
        <w:tc>
          <w:tcPr>
            <w:tcW w:type="dxa" w:w="2015"/>
            <w:tcMar>
              <w:top w:type="dxa" w:w="60"/>
              <w:left w:type="dxa" w:w="100"/>
              <w:bottom w:type="dxa" w:w="60"/>
              <w:right w:type="dxa" w:w="100"/>
            </w:tcMar>
          </w:tcPr>
          <w:p>
            <w:pPr>
              <w:spacing w:after="0" w:before="0"/>
            </w:pPr>
            <w:r>
              <w:rPr>
                <w:b w:val="false"/>
                <w:bCs w:val="false"/>
                <w:i w:val="false"/>
                <w:iCs w:val="false"/>
              </w:rPr>
              <w:t xml:space="preserve">[Reference 1]</w:t>
            </w:r>
          </w:p>
        </w:tc>
        <w:tc>
          <w:tcPr>
            <w:tcW w:type="dxa" w:w="5884"/>
            <w:tcMar>
              <w:top w:type="dxa" w:w="60"/>
              <w:left w:type="dxa" w:w="100"/>
              <w:bottom w:type="dxa" w:w="60"/>
              <w:right w:type="dxa" w:w="100"/>
            </w:tcMar>
          </w:tcPr>
          <w:p>
            <w:pPr>
              <w:spacing w:after="0" w:before="0"/>
            </w:pPr>
            <w:r>
              <w:rPr>
                <w:b w:val="false"/>
                <w:bCs w:val="false"/>
                <w:i w:val="false"/>
                <w:iCs w:val="false"/>
              </w:rPr>
              <w:t xml:space="preserve">[For example: cutover from a legacy issuance process, operator and administrator training, handover of operation to a government agency, change control in operation]</w:t>
            </w:r>
          </w:p>
        </w:tc>
        <w:tc>
          <w:tcPr>
            <w:tcW w:type="dxa" w:w="1121"/>
            <w:tcMar>
              <w:top w:type="dxa" w:w="60"/>
              <w:left w:type="dxa" w:w="100"/>
              <w:bottom w:type="dxa" w:w="60"/>
              <w:right w:type="dxa" w:w="100"/>
            </w:tcMar>
          </w:tcPr>
          <w:p>
            <w:pPr>
              <w:spacing w:after="0" w:before="0"/>
            </w:pPr>
            <w:r>
              <w:rPr>
                <w:b w:val="false"/>
                <w:bCs w:val="false"/>
                <w:i w:val="false"/>
                <w:iCs w:val="false"/>
              </w:rPr>
              <w:t xml:space="preserve">[Client letter]</w:t>
            </w:r>
          </w:p>
        </w:tc>
      </w:tr>
      <w:tr>
        <w:tc>
          <w:tcPr>
            <w:tcW w:type="dxa" w:w="2015"/>
            <w:tcMar>
              <w:top w:type="dxa" w:w="60"/>
              <w:left w:type="dxa" w:w="100"/>
              <w:bottom w:type="dxa" w:w="60"/>
              <w:right w:type="dxa" w:w="100"/>
            </w:tcMar>
          </w:tcPr>
          <w:p>
            <w:pPr>
              <w:spacing w:after="0" w:before="0"/>
            </w:pPr>
            <w:r>
              <w:rPr>
                <w:b w:val="false"/>
                <w:bCs w:val="false"/>
                <w:i w:val="false"/>
                <w:iCs w:val="false"/>
              </w:rPr>
              <w:t xml:space="preserve">[Reference 2]</w:t>
            </w:r>
          </w:p>
        </w:tc>
        <w:tc>
          <w:tcPr>
            <w:tcW w:type="dxa" w:w="5884"/>
            <w:tcMar>
              <w:top w:type="dxa" w:w="60"/>
              <w:left w:type="dxa" w:w="100"/>
              <w:bottom w:type="dxa" w:w="60"/>
              <w:right w:type="dxa" w:w="100"/>
            </w:tcMar>
          </w:tcPr>
          <w:p>
            <w:pPr>
              <w:spacing w:after="0" w:before="0"/>
            </w:pPr>
            <w:r>
              <w:rPr>
                <w:b w:val="false"/>
                <w:bCs w:val="false"/>
                <w:i w:val="false"/>
                <w:iCs w:val="false"/>
              </w:rPr>
              <w:t xml:space="preserve"/>
            </w:r>
          </w:p>
        </w:tc>
        <w:tc>
          <w:tcPr>
            <w:tcW w:type="dxa" w:w="1121"/>
            <w:tcMar>
              <w:top w:type="dxa" w:w="60"/>
              <w:left w:type="dxa" w:w="100"/>
              <w:bottom w:type="dxa" w:w="60"/>
              <w:right w:type="dxa" w:w="100"/>
            </w:tcMar>
          </w:tcPr>
          <w:p>
            <w:pPr>
              <w:spacing w:after="0" w:before="0"/>
            </w:pPr>
            <w:r>
              <w:rPr>
                <w:b w:val="false"/>
                <w:bCs w:val="false"/>
                <w:i w:val="false"/>
                <w:iCs w:val="false"/>
              </w:rPr>
              <w:t xml:space="preserve"/>
            </w:r>
          </w:p>
        </w:tc>
      </w:tr>
      <w:tr>
        <w:tc>
          <w:tcPr>
            <w:tcW w:type="dxa" w:w="2015"/>
            <w:tcMar>
              <w:top w:type="dxa" w:w="60"/>
              <w:left w:type="dxa" w:w="100"/>
              <w:bottom w:type="dxa" w:w="60"/>
              <w:right w:type="dxa" w:w="100"/>
            </w:tcMar>
          </w:tcPr>
          <w:p>
            <w:pPr>
              <w:spacing w:after="0" w:before="0"/>
            </w:pPr>
            <w:r>
              <w:rPr>
                <w:b w:val="false"/>
                <w:bCs w:val="false"/>
                <w:i w:val="false"/>
                <w:iCs w:val="false"/>
              </w:rPr>
              <w:t xml:space="preserve">[Reference 3]</w:t>
            </w:r>
          </w:p>
        </w:tc>
        <w:tc>
          <w:tcPr>
            <w:tcW w:type="dxa" w:w="5884"/>
            <w:tcMar>
              <w:top w:type="dxa" w:w="60"/>
              <w:left w:type="dxa" w:w="100"/>
              <w:bottom w:type="dxa" w:w="60"/>
              <w:right w:type="dxa" w:w="100"/>
            </w:tcMar>
          </w:tcPr>
          <w:p>
            <w:pPr>
              <w:spacing w:after="0" w:before="0"/>
            </w:pPr>
            <w:r>
              <w:rPr>
                <w:b w:val="false"/>
                <w:bCs w:val="false"/>
                <w:i w:val="false"/>
                <w:iCs w:val="false"/>
              </w:rPr>
              <w:t xml:space="preserve"/>
            </w:r>
          </w:p>
        </w:tc>
        <w:tc>
          <w:tcPr>
            <w:tcW w:type="dxa" w:w="1121"/>
            <w:tcMar>
              <w:top w:type="dxa" w:w="60"/>
              <w:left w:type="dxa" w:w="100"/>
              <w:bottom w:type="dxa" w:w="60"/>
              <w:right w:type="dxa" w:w="100"/>
            </w:tcMar>
          </w:tcPr>
          <w:p>
            <w:pPr>
              <w:spacing w:after="0" w:before="0"/>
            </w:pPr>
            <w:r>
              <w:rPr>
                <w:b w:val="false"/>
                <w:bCs w:val="false"/>
                <w:i w:val="false"/>
                <w:iCs w:val="false"/>
              </w:rPr>
              <w:t xml:space="preserve"/>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color w:val="595959"/>
        <w:sz w:val="16"/>
        <w:szCs w:val="16"/>
      </w:rPr>
      <w:t xml:space="preserve">Change Management Plan   |   RFP No. MW-PPPC-546386-GO-RFB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firstLine="0"/>
      </w:pPr>
    </w:lvl>
    <w:lvl w:ilvl="1" w15:tentative="1">
      <w:start w:val="1"/>
      <w:numFmt w:val="decimal"/>
      <w:suff w:val="space"/>
      <w:lvlText w:val="%1.%2"/>
      <w:lvlJc w:val="left"/>
      <w:pPr>
        <w:ind w:left="0" w:firstLine="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Management Plan</dc:title>
  <dc:creator>Inkript</dc:creator>
  <cp:lastModifiedBy>Un-named</cp:lastModifiedBy>
  <cp:revision>1</cp:revision>
  <dcterms:created xsi:type="dcterms:W3CDTF">2026-10-07T07:29:14.592Z</dcterms:created>
  <dcterms:modified xsi:type="dcterms:W3CDTF">2026-10-07T07:29:14.593Z</dcterms:modified>
</cp:coreProperties>
</file>

<file path=docProps/custom.xml><?xml version="1.0" encoding="utf-8"?>
<Properties xmlns="http://schemas.openxmlformats.org/officeDocument/2006/custom-properties" xmlns:vt="http://schemas.openxmlformats.org/officeDocument/2006/docPropsVTypes"/>
</file>