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r>
        <w:br w:type="page"/>
      </w:r>
    </w:p>
    <w:p>
      <w:r>
        <w:br w:type="page"/>
      </w:r>
    </w:p>
    <w:p>
      <w:pPr>
        <w:pStyle w:val="Heading1"/>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w:trPr>
          <w:tblHeader/>
        </w:trPr>
        <w:tc>
          <w:tcPr>
            <w:tcW w:type="dxa" w:w="210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2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20"/>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20"/>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20"/>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20"/>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Air compressor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Supplies the pneumatic transport and handling functions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20"/>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20"/>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20"/>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4"/>
        <w:gridCol w:w="6656"/>
      </w:tblGrid>
      <w:tr>
        <w:trPr>
          <w:tblHeader/>
        </w:trPr>
        <w:tc>
          <w:tcPr>
            <w:tcW w:type="dxa" w:w="2364"/>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56"/>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2,000 cards per hour, duplex</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56"/>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56"/>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56"/>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56"/>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r>
        <w:br w:type="page"/>
      </w:r>
    </w:p>
    <w:p>
      <w:r>
        <w:br w:type="page"/>
      </w:r>
    </w:p>
    <w:p>
      <w:pPr>
        <w:pStyle w:val="Heading1"/>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comply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are provided, from an independent international laboratory holding ISO/IEC 17025 accreditation with a scope covering these standards, dated within the last three years, and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r>
        <w:br w:type="page"/>
      </w:r>
    </w:p>
    <w:p>
      <w:r>
        <w:br w:type="page"/>
      </w:r>
    </w:p>
    <w:p>
      <w:pPr>
        <w:pStyle w:val="Heading1"/>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r>
        <w:br w:type="page"/>
      </w:r>
    </w:p>
    <w:p>
      <w:r>
        <w:br w:type="page"/>
      </w:r>
    </w:p>
    <w:p>
      <w:pPr>
        <w:pStyle w:val="Heading1"/>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r>
        <w:br w:type="page"/>
      </w:r>
    </w:p>
    <w:p>
      <w:r>
        <w:br w:type="page"/>
      </w:r>
    </w:p>
    <w:p>
      <w:pPr>
        <w:pStyle w:val="Heading1"/>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r>
        <w:br w:type="page"/>
      </w:r>
    </w:p>
    <w:p>
      <w:r>
        <w:br w:type="page"/>
      </w:r>
    </w:p>
    <w:p>
      <w:pPr>
        <w:pStyle w:val="Heading1"/>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solid-state drives in a protected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Access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Machine Control Zone, each serving one personalization line and one mailing line, physically separate from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7 virtual machines: the secondary copy of the database, kept current by database replication; a domain controller, kept current by directory replication; and standby copies, one of each, of the integration gateway, application server, management, security monitoring and backup server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14 virtual machines: the 12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39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391275"/>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two access switches of their own rather than to the core pair, each serving one personalization line and one mailing line, so the equipment is separated physically as well as logically, and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access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48"/>
        <w:gridCol w:w="1120"/>
        <w:gridCol w:w="6052"/>
      </w:tblGrid>
      <w:tr>
        <w:trPr>
          <w:tblHeader/>
        </w:trPr>
        <w:tc>
          <w:tcPr>
            <w:tcW w:type="dxa" w:w="1848"/>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5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52"/>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52"/>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 after RAID</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7 virtual machines of the secondary environment at the Purchaser's disaster recovery data center</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52"/>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Access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52"/>
            <w:tcMar>
              <w:top w:type="dxa" w:w="60"/>
              <w:left w:type="dxa" w:w="100"/>
              <w:bottom w:type="dxa" w:w="60"/>
              <w:right w:type="dxa" w:w="100"/>
            </w:tcMar>
          </w:tcPr>
          <w:p>
            <w:pPr>
              <w:spacing w:after="0" w:before="0"/>
            </w:pPr>
            <w:r>
              <w:rPr>
                <w:b w:val="false"/>
                <w:bCs w:val="false"/>
                <w:i w:val="false"/>
                <w:iCs w:val="false"/>
              </w:rPr>
              <w:t xml:space="preserve">Machine Control Zone, each serving one personalization line and one mailing line</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52"/>
            <w:tcMar>
              <w:top w:type="dxa" w:w="60"/>
              <w:left w:type="dxa" w:w="100"/>
              <w:bottom w:type="dxa" w:w="60"/>
              <w:right w:type="dxa" w:w="100"/>
            </w:tcMar>
          </w:tcPr>
          <w:p>
            <w:pPr>
              <w:spacing w:after="0" w:before="0"/>
            </w:pPr>
            <w:r>
              <w:rPr>
                <w:b w:val="false"/>
                <w:bCs w:val="false"/>
                <w:i w:val="false"/>
                <w:iCs w:val="false"/>
              </w:rPr>
              <w:t xml:space="preserve">Managed, non-PoE, stacked, for the User Network and the Management Network</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52"/>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52"/>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52"/>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48"/>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52"/>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48"/>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52"/>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r>
        <w:br w:type="page"/>
      </w:r>
    </w:p>
    <w:p>
      <w:r>
        <w:br w:type="page"/>
      </w:r>
    </w:p>
    <w:p>
      <w:pPr>
        <w:pStyle w:val="Heading1"/>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r>
        <w:br w:type="page"/>
      </w:r>
    </w:p>
    <w:p>
      <w:r>
        <w:br w:type="page"/>
      </w:r>
    </w:p>
    <w:p>
      <w:pPr>
        <w:pStyle w:val="Heading1"/>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r>
        <w:br w:type="page"/>
      </w:r>
    </w:p>
    <w:p>
      <w:r>
        <w:br w:type="page"/>
      </w:r>
    </w:p>
    <w:p>
      <w:pPr>
        <w:pStyle w:val="Heading1"/>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r>
        <w:br w:type="page"/>
      </w:r>
    </w:p>
    <w:p>
      <w:r>
        <w:br w:type="page"/>
      </w:r>
    </w:p>
    <w:p>
      <w:pPr>
        <w:pStyle w:val="Heading1"/>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r>
        <w:br w:type="page"/>
      </w:r>
    </w:p>
    <w:p>
      <w:r>
        <w:br w:type="page"/>
      </w:r>
    </w:p>
    <w:p>
      <w:pPr>
        <w:pStyle w:val="Heading1"/>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e079083e4ea83f6539e2911ddc95cd831785121.png"/><Relationship Id="rId18" Type="http://schemas.openxmlformats.org/officeDocument/2006/relationships/image" Target="media/f2db1ef0bdf3253f63884b03d09569e84a9c059c.png"/><Relationship Id="rId19" Type="http://schemas.openxmlformats.org/officeDocument/2006/relationships/image" Target="media/e73ae738139e2b3b714be05ae7818f97cff598d5.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2026-10-07T07:29:12.347Z</dcterms:created>
  <dcterms:modified xsi:type="dcterms:W3CDTF">2026-10-07T07:29:12.348Z</dcterms:modified>
</cp:coreProperties>
</file>

<file path=docProps/custom.xml><?xml version="1.0" encoding="utf-8"?>
<Properties xmlns="http://schemas.openxmlformats.org/officeDocument/2006/custom-properties" xmlns:vt="http://schemas.openxmlformats.org/officeDocument/2006/docPropsVTypes"/>
</file>