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Responsiveness Checklist</w:t>
      </w:r>
    </w:p>
    <w:p>
      <w:pPr>
        <w:spacing w:after="140" w:before="360"/>
      </w:pPr>
      <w:r>
        <w:rPr>
          <w:color w:val="2F5496"/>
          <w:sz w:val="26"/>
          <w:szCs w:val="2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r>
        <w:br w:type="page"/>
      </w:r>
    </w:p>
    <w:p>
      <w:pPr>
        <w:pStyle w:val="Heading1"/>
        <w:numPr>
          <w:ilvl w:val="0"/>
          <w:numId w:val="2"/>
        </w:numPr>
        <w:spacing w:after="140" w:before="240"/>
      </w:pPr>
      <w:r>
        <w:t xml:space="preserve">F</w:t>
      </w:r>
      <w:bookmarkStart w:name="sec_1" w:id="1"/>
      <w:r>
        <w:rPr>
          <w:b w:val="false"/>
          <w:bCs w:val="false"/>
          <w:i w:val="false"/>
          <w:iCs w:val="false"/>
        </w:rPr>
        <w:t xml:space="preserve">unctional, Architectural and Performance Requirements</w:t>
      </w:r>
      <w:bookmarkEnd w:id="1"/>
    </w:p>
    <w:p>
      <w:pPr>
        <w:spacing w:after="140" w:line="276"/>
      </w:pPr>
      <w:r>
        <w:rPr>
          <w:b/>
          <w:bCs/>
          <w:i w:val="false"/>
          <w:iCs w:val="false"/>
        </w:rPr>
        <w:t xml:space="preserve">How to read this checklist.</w:t>
      </w:r>
      <w:r>
        <w:rPr>
          <w:b w:val="false"/>
          <w:bCs w:val="false"/>
          <w:i w:val="false"/>
          <w:iCs w:val="false"/>
        </w:rPr>
        <w:t xml:space="preserve"> This is the item-by-item commentary on the Technical Requirements required by ITP 16.2(c), in the Technical Responsiveness Checklist format of Section IV. Its sections follow the numbering of Section VII. For each requirement it gives the Section VII clause and a short description, the technical reasons supporting compliance, and cross-references to the supporting information in the System Architecture, the Preliminary Project Plan, the Cybersecurity Risk Management Plan, the Change Management Plan and the attachments.</w:t>
      </w:r>
    </w:p>
    <w:p>
      <w:pPr>
        <w:pStyle w:val="Heading2"/>
        <w:numPr>
          <w:ilvl w:val="1"/>
          <w:numId w:val="2"/>
        </w:numPr>
        <w:spacing w:after="140" w:before="260"/>
      </w:pPr>
      <w:r>
        <w:t xml:space="preserve">L</w:t>
      </w:r>
      <w:bookmarkStart w:name="sec_1_1" w:id="1"/>
      <w:r>
        <w:rPr>
          <w:b w:val="false"/>
          <w:bCs w:val="false"/>
          <w:i w:val="false"/>
          <w:iCs w:val="false"/>
        </w:rPr>
        <w:t xml:space="preserve">egal and regulatory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240"/>
        <w:gridCol w:w="200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24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780"/>
            <w:tcMar>
              <w:top w:type="dxa" w:w="60"/>
              <w:left w:type="dxa" w:w="100"/>
              <w:bottom w:type="dxa" w:w="60"/>
              <w:right w:type="dxa" w:w="100"/>
            </w:tcMar>
          </w:tcPr>
          <w:p>
            <w:pPr>
              <w:spacing w:after="0" w:before="0"/>
            </w:pPr>
            <w:r>
              <w:rPr>
                <w:b/>
                <w:bCs/>
                <w:i w:val="false"/>
                <w:iCs w:val="false"/>
              </w:rPr>
              <w:t xml:space="preserve">1.1.1.1</w:t>
            </w:r>
            <w:r>
              <w:rPr>
                <w:b w:val="false"/>
                <w:bCs w:val="false"/>
                <w:i w:val="false"/>
                <w:iCs w:val="false"/>
              </w:rPr>
              <w:t xml:space="preserve"> System must comply with the Data Protection Act, 2024.</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applies the Act's principles by design: minimization and purpose limitation, AES-256 at rest, TLS 1.2 or higher in transit, masked data outside production and support for Privacy Impact Assessment. As clarified in the Responses to Queries 003, NRB is data controller, citizen data stays in Malawi, and only production and audit data is retained.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10.2 and 10.8; Cybersecurity Risk Management Plan Sections 7.4 and 11.1</w:t>
            </w:r>
          </w:p>
        </w:tc>
      </w:tr>
      <w:tr>
        <w:tc>
          <w:tcPr>
            <w:tcW w:type="dxa" w:w="1780"/>
            <w:tcMar>
              <w:top w:type="dxa" w:w="60"/>
              <w:left w:type="dxa" w:w="100"/>
              <w:bottom w:type="dxa" w:w="60"/>
              <w:right w:type="dxa" w:w="100"/>
            </w:tcMar>
          </w:tcPr>
          <w:p>
            <w:pPr>
              <w:spacing w:after="0" w:before="0"/>
            </w:pPr>
            <w:r>
              <w:rPr>
                <w:b/>
                <w:bCs/>
                <w:i w:val="false"/>
                <w:iCs w:val="false"/>
              </w:rPr>
              <w:t xml:space="preserve">1.1.1.2</w:t>
            </w:r>
            <w:r>
              <w:rPr>
                <w:b w:val="false"/>
                <w:bCs w:val="false"/>
                <w:i w:val="false"/>
                <w:iCs w:val="false"/>
              </w:rPr>
              <w:t xml:space="preserve"> System must comply with the Communications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External communications use services provisioned by others: wide area and internet connectivity over the Malawi Government Wide Area Network, provisioned by NRB and e-Government, and alert SMS through a bulk SMS provider in Malawi. All active equipment meets FCC Class B or EN 55022 and EN 50082-1 emission limits. [CONFIRM: The proposal documents give only a general compliance statement (System Architecture Section 10.8). Inkript to confirm whether MACRA type approval is needed for the imported network and production equipment, that the bulk SMS provider is licensed, and that EMC certificate copies are attached for every machine (Document Register item 1.6). The MS1000 datasheet lists no certifications.]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9.2, 9.4, 10.8 and 13.2; Attachment: EMC certificates</w:t>
            </w:r>
          </w:p>
        </w:tc>
      </w:tr>
      <w:tr>
        <w:tc>
          <w:tcPr>
            <w:tcW w:type="dxa" w:w="1780"/>
            <w:tcMar>
              <w:top w:type="dxa" w:w="60"/>
              <w:left w:type="dxa" w:w="100"/>
              <w:bottom w:type="dxa" w:w="60"/>
              <w:right w:type="dxa" w:w="100"/>
            </w:tcMar>
          </w:tcPr>
          <w:p>
            <w:pPr>
              <w:spacing w:after="0" w:before="0"/>
            </w:pPr>
            <w:r>
              <w:rPr>
                <w:b/>
                <w:bCs/>
                <w:i w:val="false"/>
                <w:iCs w:val="false"/>
              </w:rPr>
              <w:t xml:space="preserve">1.1.1.3</w:t>
            </w:r>
            <w:r>
              <w:rPr>
                <w:b w:val="false"/>
                <w:bCs w:val="false"/>
                <w:i w:val="false"/>
                <w:iCs w:val="false"/>
              </w:rPr>
              <w:t xml:space="preserve"> System must comply with the Electronic Transactions and Cybersecurity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QR payload on each card is digitally signed in FIPS 140-2 or FIPS 140-3 validated HSMs with X.509 certificates from the Government PKI. Security is managed to ISO/IEC 27001 and NIST CSF 2.0, with a Security Operations Center, and cyber incidents are reported to the Purchaser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10.4, 10.7 and 10.8; Cybersecurity Risk Management Plan Sections 7.4 and 11.1</w:t>
            </w:r>
          </w:p>
        </w:tc>
      </w:tr>
      <w:tr>
        <w:tc>
          <w:tcPr>
            <w:tcW w:type="dxa" w:w="1780"/>
            <w:tcMar>
              <w:top w:type="dxa" w:w="60"/>
              <w:left w:type="dxa" w:w="100"/>
              <w:bottom w:type="dxa" w:w="60"/>
              <w:right w:type="dxa" w:w="100"/>
            </w:tcMar>
          </w:tcPr>
          <w:p>
            <w:pPr>
              <w:spacing w:after="0" w:before="0"/>
            </w:pPr>
            <w:r>
              <w:rPr>
                <w:b/>
                <w:bCs/>
                <w:i w:val="false"/>
                <w:iCs w:val="false"/>
              </w:rPr>
              <w:t xml:space="preserve">1.1.1.4</w:t>
            </w:r>
            <w:r>
              <w:rPr>
                <w:b w:val="false"/>
                <w:bCs w:val="false"/>
                <w:i w:val="false"/>
                <w:iCs w:val="false"/>
              </w:rPr>
              <w:t xml:space="preserve"> System must comply with Malawi's National Digitalization Policy.</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 production is digital end to end: approved records are retrieved from NRIS through a single secure interface, and production, quality and dispatch status return to NRIS automatically, where they drive the document tracker and the cardholder SMS. The System uses the Government PKI and the Government Wide Area Network. [CONFIRM: The proposal documents state compliance (System Architecture Section 10.8) but do not map the System to the Policy itself. Inkript to check this response against the Policy copy issued with the Responses to Queries 04.]</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 7.11, 8.3, 10.8 and 13.1</w:t>
            </w:r>
          </w:p>
        </w:tc>
      </w:tr>
      <w:tr>
        <w:tc>
          <w:tcPr>
            <w:tcW w:type="dxa" w:w="1780"/>
            <w:tcMar>
              <w:top w:type="dxa" w:w="60"/>
              <w:left w:type="dxa" w:w="100"/>
              <w:bottom w:type="dxa" w:w="60"/>
              <w:right w:type="dxa" w:w="100"/>
            </w:tcMar>
          </w:tcPr>
          <w:p>
            <w:pPr>
              <w:spacing w:after="0" w:before="0"/>
            </w:pPr>
            <w:r>
              <w:rPr>
                <w:b/>
                <w:bCs/>
                <w:i w:val="false"/>
                <w:iCs w:val="false"/>
              </w:rPr>
              <w:t xml:space="preserve">1.1.1.5</w:t>
            </w:r>
            <w:r>
              <w:rPr>
                <w:b w:val="false"/>
                <w:bCs w:val="false"/>
                <w:i w:val="false"/>
                <w:iCs w:val="false"/>
              </w:rPr>
              <w:t xml:space="preserve"> System must comply with the Project Environmental and Social Management Plan.</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is supplied, installed and operated in compliance with the Project Environmental and Social Management Plan, and Inkript's own Environmental and Social Management Plan accompanies the proposal. Rejected and defective cards, which carry personal data, are destroyed by cross-cut shredding under dual custody, with a destruction certificate for every batch. [CONFIRM: Inkript's Environmental and Social Management Plan and related plans (Document Register items 5.4 to 5.8 and items 5.20 to 5.22) must be in the proposal. The four proposal documents contain only a compliance statement and no environmental or social measures.]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6.10 and 10.8; Cybersecurity Risk Management Plan Section 11.1; Attachment: Environmental and Social Management Plan</w:t>
            </w:r>
          </w:p>
        </w:tc>
      </w:tr>
      <w:tr>
        <w:tc>
          <w:tcPr>
            <w:tcW w:type="dxa" w:w="1780"/>
            <w:tcMar>
              <w:top w:type="dxa" w:w="60"/>
              <w:left w:type="dxa" w:w="100"/>
              <w:bottom w:type="dxa" w:w="60"/>
              <w:right w:type="dxa" w:w="100"/>
            </w:tcMar>
          </w:tcPr>
          <w:p>
            <w:pPr>
              <w:spacing w:after="0" w:before="0"/>
            </w:pPr>
            <w:r>
              <w:rPr>
                <w:b/>
                <w:bCs/>
                <w:i w:val="false"/>
                <w:iCs w:val="false"/>
              </w:rPr>
              <w:t xml:space="preserve">1.1.1.6</w:t>
            </w:r>
            <w:r>
              <w:rPr>
                <w:b w:val="false"/>
                <w:bCs w:val="false"/>
                <w:i w:val="false"/>
                <w:iCs w:val="false"/>
              </w:rPr>
              <w:t xml:space="preserve"> System must comply with the National Registration Act of 2015.</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Cards are produced only for records NRIS has approved and released, each keyed to the National Identity Number, with NRIS remaining the system of record. First issuance, replacement, duplicate, re-issuance, renewal and cancellation follow the request type NRIS sets, and every card is traceable by serial number from the NRIS request to delivery.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2.3, 7.10, 7.14, 10.8 and 13.1</w:t>
            </w:r>
          </w:p>
        </w:tc>
      </w:tr>
    </w:tbl>
    <w:p>
      <w:pPr>
        <w:spacing w:after="140"/>
      </w:pPr>
    </w:p>
    <w:p>
      <w:pPr>
        <w:pStyle w:val="Heading2"/>
        <w:numPr>
          <w:ilvl w:val="1"/>
          <w:numId w:val="2"/>
        </w:numPr>
        <w:spacing w:after="140" w:before="260"/>
      </w:pPr>
      <w:r>
        <w:t xml:space="preserve">B</w:t>
      </w:r>
      <w:bookmarkStart w:name="sec_1_2" w:id="1"/>
      <w:r>
        <w:rPr>
          <w:b w:val="false"/>
          <w:bCs w:val="false"/>
          <w:i w:val="false"/>
          <w:iCs w:val="false"/>
        </w:rPr>
        <w:t xml:space="preserve">usiness function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1.2.1</w:t>
            </w:r>
            <w:r>
              <w:rPr>
                <w:b w:val="false"/>
                <w:bCs w:val="false"/>
                <w:i w:val="false"/>
                <w:iCs w:val="false"/>
              </w:rPr>
              <w:t xml:space="preserve"> Enhance the security, durability and efficiency of National ID personalization and dispatch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Security comes from laser engraving inside a fused polycarbonate body, the HSM-signed biometric QR code and serialized blank stock control. Durability comes from 100% polycarbonate cards with a minimum ten-year service life. Efficiency comes from two automated lines producing not less than 2,000 cards per hour, matched by two automated mailing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3.1, 4.1, 4.5, 6.10 and 11.1</w:t>
            </w:r>
          </w:p>
        </w:tc>
      </w:tr>
      <w:tr>
        <w:tc>
          <w:tcPr>
            <w:tcW w:type="dxa" w:w="2110"/>
            <w:tcMar>
              <w:top w:type="dxa" w:w="60"/>
              <w:left w:type="dxa" w:w="100"/>
              <w:bottom w:type="dxa" w:w="60"/>
              <w:right w:type="dxa" w:w="100"/>
            </w:tcMar>
          </w:tcPr>
          <w:p>
            <w:pPr>
              <w:spacing w:after="0" w:before="0"/>
            </w:pPr>
            <w:r>
              <w:rPr>
                <w:b/>
                <w:bCs/>
                <w:i w:val="false"/>
                <w:iCs w:val="false"/>
              </w:rPr>
              <w:t xml:space="preserve">1.2.2.1</w:t>
            </w:r>
            <w:r>
              <w:rPr>
                <w:b w:val="false"/>
                <w:bCs w:val="false"/>
                <w:i w:val="false"/>
                <w:iCs w:val="false"/>
              </w:rPr>
              <w:t xml:space="preserve"> Renovate the Card Printing Facility: identify gaps, quantify works, identify and supervise partner for ancillary equipment.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CIRA-registered subcontractor, as Addendum 2 requires, delivers the renovation under Inkript's single-point accountability. As clarified in the Responses to Queries 003 and Queries 04, new power, HVAC, fire, physical security and secure areas are designed without reliance on existing infrastructure, to the ICT Site Preparation Guide issued in week 4, with works in weeks 7 to 18. [GAP: The four proposal documents place the renovation under separate facility works (Preliminary Project Plan Section 1.1) and contain no gap assessment, bill of quantities, renovation method or plan for supervising the ancillary-equipment partner. Preliminary Project Plan Section 2.8 makes the facility works accountable for server room and floor readiness, with Inkript only consulted. A facility works method statement and supervision arrangement are needed.]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1.2 and 9.5; Preliminary Project Plan Sections 2.1 and 2.4; Cybersecurity Risk Management Plan Section 2.1;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1.2.2.2</w:t>
            </w:r>
            <w:r>
              <w:rPr>
                <w:b w:val="false"/>
                <w:bCs w:val="false"/>
                <w:i w:val="false"/>
                <w:iCs w:val="false"/>
              </w:rPr>
              <w:t xml:space="preserve"> Supply high-security, ISO-compliant polycarbonate cards with advanced card-body and personalization security features.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two million chipless, serialized cards are supplied: 100% polycarbonate, six or more fused layers, tested to ISO/IEC 7810, ISO/IEC 10373-1 and ISO/IEC 24789. Card-body features include guilloche, OVMI, UV, photonic crystal and thermochromic ink; laser personalization adds a grayscale portrait, CLI, micro-text, tactile relief and a signed QR code. [CONFIRM: Depends on the card manufacturer's laboratory test reports, OEM letter and construction and feature confirmations (Document Register item 2.1, item 2.13, item 2.15 and item 2.16).]</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4, 4.1, 4.2, 4.4 and 4.6; Attachment: Card manufacturer laboratory test reports</w:t>
            </w:r>
          </w:p>
        </w:tc>
      </w:tr>
      <w:tr>
        <w:tc>
          <w:tcPr>
            <w:tcW w:type="dxa" w:w="2110"/>
            <w:tcMar>
              <w:top w:type="dxa" w:w="60"/>
              <w:left w:type="dxa" w:w="100"/>
              <w:bottom w:type="dxa" w:w="60"/>
              <w:right w:type="dxa" w:w="100"/>
            </w:tcMar>
          </w:tcPr>
          <w:p>
            <w:pPr>
              <w:spacing w:after="0" w:before="0"/>
            </w:pPr>
            <w:r>
              <w:rPr>
                <w:b/>
                <w:bCs/>
                <w:i w:val="false"/>
                <w:iCs w:val="false"/>
              </w:rPr>
              <w:t xml:space="preserve">1.2.2.3</w:t>
            </w:r>
            <w:r>
              <w:rPr>
                <w:b w:val="false"/>
                <w:bCs w:val="false"/>
                <w:i w:val="false"/>
                <w:iCs w:val="false"/>
              </w:rPr>
              <w:t xml:space="preserve"> Supply two laser personalization systems producing laser-engraved, multilingual, security-enhanced polycarbonate ID cards at required performance.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automatic modular fiber laser personalization systems engrave both faces in a single pass: variable text in English and Chichewa, a 600 dpi grayscale portrait, secondary image, micro-text, CLI, the signed QR code and tactile relief. As clarified in the Response to Clarifications 001, each machine delivers not less than 1,000 cards per hour, giving 2,000 combined. [CONFIRM: The S8000 datasheet gives up to 2,000 cph per machine. Inkript to confirm, as Preliminary Project Plan Section 2.9 risk R3 requires, that each machine sustains at least 1,000 accepted cards per hour with full content, since the Responses to Queries 003 measure throughput on accepted finished cards. The laser datasheet lists neither tactile marking nor a 600 dpi resolution.]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3.1, 3.2, 3.3 and 3.5; Attachment: S8000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1.2.2.4</w:t>
            </w:r>
            <w:r>
              <w:rPr>
                <w:b w:val="false"/>
                <w:bCs w:val="false"/>
                <w:i w:val="false"/>
                <w:iCs w:val="false"/>
              </w:rPr>
              <w:t xml:space="preserve"> Supply two mailing systems meeting output capacity, barcode/QR reading, card-to-carrier handling and software compatibility.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automated mailing systems each deliver not less than 1,000 single-card mailers per hour, 2,000 combined, as clarified in the Clarifications to Queries 005. Each reads 1D, 2D and QR codes, affixes one to four cards per carrier, re-reads card and carrier together, and takes job data live from the Mailing and Dispatch Management System. [CONFIRM: The MS1000 datasheet rates each machine at up to 1,000 cph standalone, exactly the required minimum with no margin, lists the card data reading station as optional, and runs Maticard Pro on Windows 8 and Windows 10. Inkript to confirm rate, QR reading and supported operating system with the OEM.]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5.1, 5.4, 5.6 and 5.7; Attachment: MS1000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1.2.2.5</w:t>
            </w:r>
            <w:r>
              <w:rPr>
                <w:b w:val="false"/>
                <w:bCs w:val="false"/>
                <w:i w:val="false"/>
                <w:iCs w:val="false"/>
              </w:rPr>
              <w:t xml:space="preserve"> Provide all required software components, machine software, diagnostic tools and documentation.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supplies the application software suite, the manufacturer's machine control software with its template editor, and the database, operating system, monitoring and security software, each inventoried and licensed for three years from Operational Acceptance. Diagnostic and setup software comes with each machine, and documentation runs from design documents to manuals, operating procedures and as-built records. [CONFIRM: Depends on the OEM software list with license texts and the machine software scope statement (Document Register item 1.7 and item 1.8).]</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3.9, 6.14 and 12.2; Preliminary Project Plan Section 2.10; Attachment: MS1000 mailing system datasheet; Attachment: Software list with license texts</w:t>
            </w:r>
          </w:p>
        </w:tc>
      </w:tr>
      <w:tr>
        <w:tc>
          <w:tcPr>
            <w:tcW w:type="dxa" w:w="2110"/>
            <w:tcMar>
              <w:top w:type="dxa" w:w="60"/>
              <w:left w:type="dxa" w:w="100"/>
              <w:bottom w:type="dxa" w:w="60"/>
              <w:right w:type="dxa" w:w="100"/>
            </w:tcMar>
          </w:tcPr>
          <w:p>
            <w:pPr>
              <w:spacing w:after="0" w:before="0"/>
            </w:pPr>
            <w:r>
              <w:rPr>
                <w:b/>
                <w:bCs/>
                <w:i w:val="false"/>
                <w:iCs w:val="false"/>
              </w:rPr>
              <w:t xml:space="preserve">1.2.2.6</w:t>
            </w:r>
            <w:r>
              <w:rPr>
                <w:b w:val="false"/>
                <w:bCs w:val="false"/>
                <w:i w:val="false"/>
                <w:iCs w:val="false"/>
              </w:rPr>
              <w:t xml:space="preserve"> Provide classroom and hands-on training so Government staff operate, manage and give first-line support.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Role-based user, technical and management training combines classroom sessions, hands-on practice on the deployed system and training environment, factory training at FAT and shadowing during installation. Helpdesk and technical support staff are trained for first-line support, trainees are assessed for competence, and operational independence is demonstrated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3.1, 3.3, 3.4, 3.5 and 3.7; System Architecture Section 12.4</w:t>
            </w:r>
          </w:p>
        </w:tc>
      </w:tr>
      <w:tr>
        <w:tc>
          <w:tcPr>
            <w:tcW w:type="dxa" w:w="2110"/>
            <w:tcMar>
              <w:top w:type="dxa" w:w="60"/>
              <w:left w:type="dxa" w:w="100"/>
              <w:bottom w:type="dxa" w:w="60"/>
              <w:right w:type="dxa" w:w="100"/>
            </w:tcMar>
          </w:tcPr>
          <w:p>
            <w:pPr>
              <w:spacing w:after="0" w:before="0"/>
            </w:pPr>
            <w:r>
              <w:rPr>
                <w:b/>
                <w:bCs/>
                <w:i w:val="false"/>
                <w:iCs w:val="false"/>
              </w:rPr>
              <w:t xml:space="preserve">1.2.2.7</w:t>
            </w:r>
            <w:r>
              <w:rPr>
                <w:b w:val="false"/>
                <w:bCs w:val="false"/>
                <w:i w:val="false"/>
                <w:iCs w:val="false"/>
              </w:rPr>
              <w:t xml:space="preserve"> Establish a turnkey facility by supplying and installing all deliverables in the specification.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delivers the facility turnkey as a single point of accountability: the equipment, two million cards, application software, ICT infrastructure at the primary and secondary sites, NRIS integration and the facility works subcontract, through ten contractual milestones to handover and go-live in week 32. Integration and interoperability responsibility is accepted under ITP 16.2(b).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1.1 and 1.2; Preliminary Project Plan Sections 2.1 and 2.2; Cybersecurity Risk Management Plan Section 2.1</w:t>
            </w:r>
          </w:p>
        </w:tc>
      </w:tr>
    </w:tbl>
    <w:p>
      <w:pPr>
        <w:spacing w:after="140"/>
      </w:pPr>
    </w:p>
    <w:p>
      <w:pPr>
        <w:pStyle w:val="Heading2"/>
        <w:numPr>
          <w:ilvl w:val="1"/>
          <w:numId w:val="2"/>
        </w:numPr>
        <w:spacing w:after="140" w:before="260"/>
      </w:pPr>
      <w:r>
        <w:t xml:space="preserve">A</w:t>
      </w:r>
      <w:bookmarkStart w:name="sec_1_3" w:id="1"/>
      <w:r>
        <w:rPr>
          <w:b w:val="false"/>
          <w:bCs w:val="false"/>
          <w:i w:val="false"/>
          <w:iCs w:val="false"/>
        </w:rPr>
        <w:t xml:space="preserve">rchitectural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1.3.1.1.1</w:t>
            </w:r>
            <w:r>
              <w:rPr>
                <w:b w:val="false"/>
                <w:bCs w:val="false"/>
                <w:i w:val="false"/>
                <w:iCs w:val="false"/>
              </w:rPr>
              <w:t xml:space="preserve"> Secure, modular, scalable, service-oriented software architecture for high-volume personalization and mailing.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application is a set of discrete single-responsibility services with defined interfaces, organized in six layers, and each service can be scaled, restarted or replaced alone. It runs on clustered hosts with two active load-balanced application servers, sized for 2,000 cards per hour and 100 concurrent users, behind layered zero-trust security.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2.1, 6.1, 9.1 and 10.1</w:t>
            </w:r>
          </w:p>
        </w:tc>
      </w:tr>
      <w:tr>
        <w:tc>
          <w:tcPr>
            <w:tcW w:type="dxa" w:w="2000"/>
            <w:tcMar>
              <w:top w:type="dxa" w:w="60"/>
              <w:left w:type="dxa" w:w="100"/>
              <w:bottom w:type="dxa" w:w="60"/>
              <w:right w:type="dxa" w:w="100"/>
            </w:tcMar>
          </w:tcPr>
          <w:p>
            <w:pPr>
              <w:spacing w:after="0" w:before="0"/>
            </w:pPr>
            <w:r>
              <w:rPr>
                <w:b/>
                <w:bCs/>
                <w:i w:val="false"/>
                <w:iCs w:val="false"/>
              </w:rPr>
              <w:t xml:space="preserve">1.3.1.1.2.1.1</w:t>
            </w:r>
            <w:r>
              <w:rPr>
                <w:b w:val="false"/>
                <w:bCs w:val="false"/>
                <w:i w:val="false"/>
                <w:iCs w:val="false"/>
              </w:rPr>
              <w:t xml:space="preserve"> Presentation Layer: GUI operator consoles, web administration portals, supervisor, production monitoring, audit and reporting interfaces.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Graphical web interfaces provide the Printer Controller Admin, quality control, mailing and dispatch, and stock control operator consoles, a web administration portal, a supervisor dashboard, a production monitoring dashboard, reporting and analytics dashboards and a read-only audit interface. As clarified in the Responses to Queries 04, system management for personalization and mailing uses a secure web-based interface. [CONFIRM: The Responses to Queries 04 require secure web-based system management for both personalization and mailing, while station status, faults and calibration run in the manufacturer's local operator interface (System Architecture Section 6.13). Inkript to confirm the OEM software or the web consoles cover this.]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6.6, 6.12 and 6.13</w:t>
            </w:r>
          </w:p>
        </w:tc>
      </w:tr>
      <w:tr>
        <w:tc>
          <w:tcPr>
            <w:tcW w:type="dxa" w:w="2000"/>
            <w:tcMar>
              <w:top w:type="dxa" w:w="60"/>
              <w:left w:type="dxa" w:w="100"/>
              <w:bottom w:type="dxa" w:w="60"/>
              <w:right w:type="dxa" w:w="100"/>
            </w:tcMar>
          </w:tcPr>
          <w:p>
            <w:pPr>
              <w:spacing w:after="0" w:before="0"/>
            </w:pPr>
            <w:r>
              <w:rPr>
                <w:b/>
                <w:bCs/>
                <w:i w:val="false"/>
                <w:iCs w:val="false"/>
              </w:rPr>
              <w:t xml:space="preserve">1.3.1.1.2.1.2</w:t>
            </w:r>
            <w:r>
              <w:rPr>
                <w:b w:val="false"/>
                <w:bCs w:val="false"/>
                <w:i w:val="false"/>
                <w:iCs w:val="false"/>
              </w:rPr>
              <w:t xml:space="preserve"> Interfaces support role-based views, multilingual support, secure authentication and real-time operational visibility.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interface shows only the functions and data the user's role grants, and controlled actions are tied to designated workstations. Interface text sits in per-user language resource files, so a language is added without code change, with Unicode data throughout. Authentication is single sign-on with MFA over TLS 1.2 or higher, and status changes push live.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6.12, 6.13 and 10.3</w:t>
            </w:r>
          </w:p>
        </w:tc>
      </w:tr>
      <w:tr>
        <w:tc>
          <w:tcPr>
            <w:tcW w:type="dxa" w:w="2000"/>
            <w:tcMar>
              <w:top w:type="dxa" w:w="60"/>
              <w:left w:type="dxa" w:w="100"/>
              <w:bottom w:type="dxa" w:w="60"/>
              <w:right w:type="dxa" w:w="100"/>
            </w:tcMar>
          </w:tcPr>
          <w:p>
            <w:pPr>
              <w:spacing w:after="0" w:before="0"/>
            </w:pPr>
            <w:r>
              <w:rPr>
                <w:b/>
                <w:bCs/>
                <w:i w:val="false"/>
                <w:iCs w:val="false"/>
              </w:rPr>
              <w:t xml:space="preserve">1.3.1.1.2.1.3</w:t>
            </w:r>
            <w:r>
              <w:rPr>
                <w:b w:val="false"/>
                <w:bCs w:val="false"/>
                <w:i w:val="false"/>
                <w:iCs w:val="false"/>
              </w:rPr>
              <w:t xml:space="preserve"> Provide graphical card layout designer, operator workflow, error and notification interfaces, reporting and analytics dashboards.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and Queries 04, the Malawi National ID template is redesigned jointly with the Purchaser, in the manufacturer's graphical Card Layout Template Editor, versioned and approval-controlled. Task-sequenced operator workflow consoles, condition-specific error and notification displays with escalation, and reporting and analytics dashboards are provided.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6.3, 6.11, 6.13 and 13.1; Preliminary Project Plan Section 2.4</w:t>
            </w:r>
          </w:p>
        </w:tc>
      </w:tr>
      <w:tr>
        <w:tc>
          <w:tcPr>
            <w:tcW w:type="dxa" w:w="2000"/>
            <w:tcMar>
              <w:top w:type="dxa" w:w="60"/>
              <w:left w:type="dxa" w:w="100"/>
              <w:bottom w:type="dxa" w:w="60"/>
              <w:right w:type="dxa" w:w="100"/>
            </w:tcMar>
          </w:tcPr>
          <w:p>
            <w:pPr>
              <w:spacing w:after="0" w:before="0"/>
            </w:pPr>
            <w:r>
              <w:rPr>
                <w:b/>
                <w:bCs/>
                <w:i w:val="false"/>
                <w:iCs w:val="false"/>
              </w:rPr>
              <w:t xml:space="preserve">1.3.1.1.2.2.1</w:t>
            </w:r>
            <w:r>
              <w:rPr>
                <w:b w:val="false"/>
                <w:bCs w:val="false"/>
                <w:i w:val="false"/>
                <w:iCs w:val="false"/>
              </w:rPr>
              <w:t xml:space="preserve"> Card Personalization Management System: issuance workflow, batches, scheduling, print queue, lifecycle, reprint and reissue.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Card Personalization Management System validates each queued record, groups records into configurable batches of 500 to 1,000, releases them under NRB priority rules and tracks every record in the print queue. It holds each card's state across first issuance, replacement, duplicate, re-issuance, renewal and cancellation, and manages in-job reproduction of rejects and reissues after dispatch.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2.3, 6.2 and 7.12</w:t>
            </w:r>
          </w:p>
        </w:tc>
      </w:tr>
      <w:tr>
        <w:tc>
          <w:tcPr>
            <w:tcW w:type="dxa" w:w="2000"/>
            <w:tcMar>
              <w:top w:type="dxa" w:w="60"/>
              <w:left w:type="dxa" w:w="100"/>
              <w:bottom w:type="dxa" w:w="60"/>
              <w:right w:type="dxa" w:w="100"/>
            </w:tcMar>
          </w:tcPr>
          <w:p>
            <w:pPr>
              <w:spacing w:after="0" w:before="0"/>
            </w:pPr>
            <w:r>
              <w:rPr>
                <w:b/>
                <w:bCs/>
                <w:i w:val="false"/>
                <w:iCs w:val="false"/>
              </w:rPr>
              <w:t xml:space="preserve">1.3.1.1.2.2.2</w:t>
            </w:r>
            <w:r>
              <w:rPr>
                <w:b w:val="false"/>
                <w:bCs w:val="false"/>
                <w:i w:val="false"/>
                <w:iCs w:val="false"/>
              </w:rPr>
              <w:t xml:space="preserve"> Laser control software: engraving, grayscale, CLI, QR, microtext, tactile printing and calibration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equipment manufacturer's control software drives the laser stations on both card faces, modulates energy density for the grayscale portrait, marks the CLI at two deflection angles, renders the QR symbol from the signed payload, marks micro-text, controls tactile relief passes and calibrates stations individually or together, logging each calibration for audit. [CONFIRM: These functions belong to the manufacturer's software. The S8000 datasheet lists grayscale, CLI/MLI and micro text but not tactile laser printing or calibration management; Inkript to confirm with the OEM.]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3.8 and 6.7;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1.3.1.1.2.2.3</w:t>
            </w:r>
            <w:r>
              <w:rPr>
                <w:b w:val="false"/>
                <w:bCs w:val="false"/>
                <w:i w:val="false"/>
                <w:iCs w:val="false"/>
              </w:rPr>
              <w:t xml:space="preserve"> Mailing and Dispatch Management: card-to-envelope matching, carrier letters, insertion, courier integration, tracking, rejects.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pairs each card identifier with its carrier content and destination, generates personalized carriers, sequences folding, insertion and sealing, and tracks each mail piece to delivery. Diverted pieces are queued for rework. With no courier yet designated, Inkript engages the operator and connects its tracking service through a configured interface. [CONFIRM: The Clarifications to Queries 005 make the Supplier solely responsible for engaging and contracting with postal operators, while System Architecture Section 8.6 and System Architecture Section 13.2 commit to engaging the operator and connecting its tracking service but leave physical delivery with NRB. Inkript to confirm the contracting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6.9, 8.3, 8.6 and 13.2</w:t>
            </w:r>
          </w:p>
        </w:tc>
      </w:tr>
      <w:tr>
        <w:tc>
          <w:tcPr>
            <w:tcW w:type="dxa" w:w="2000"/>
            <w:tcMar>
              <w:top w:type="dxa" w:w="60"/>
              <w:left w:type="dxa" w:w="100"/>
              <w:bottom w:type="dxa" w:w="60"/>
              <w:right w:type="dxa" w:w="100"/>
            </w:tcMar>
          </w:tcPr>
          <w:p>
            <w:pPr>
              <w:spacing w:after="0" w:before="0"/>
            </w:pPr>
            <w:r>
              <w:rPr>
                <w:b/>
                <w:bCs/>
                <w:i w:val="false"/>
                <w:iCs w:val="false"/>
              </w:rPr>
              <w:t xml:space="preserve">1.3.1.1.2.2.4</w:t>
            </w:r>
            <w:r>
              <w:rPr>
                <w:b w:val="false"/>
                <w:bCs w:val="false"/>
                <w:i w:val="false"/>
                <w:iCs w:val="false"/>
              </w:rPr>
              <w:t xml:space="preserve"> Production Workflow Engine: orchestration, exception handling, queue prioritization, parallel processing, balancing across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Production Workflow Engine sequences the handoffs between services from preparation to dispatch, holds affected work under defined exception handling, orders queued work when capacity is constrained, runs both personalization and both mailing lines concurrently, and distributes batches across available machines, redirecting work from a machine that becomes unavailable.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6.2 and 7.12</w:t>
            </w:r>
          </w:p>
        </w:tc>
      </w:tr>
      <w:tr>
        <w:tc>
          <w:tcPr>
            <w:tcW w:type="dxa" w:w="2000"/>
            <w:tcMar>
              <w:top w:type="dxa" w:w="60"/>
              <w:left w:type="dxa" w:w="100"/>
              <w:bottom w:type="dxa" w:w="60"/>
              <w:right w:type="dxa" w:w="100"/>
            </w:tcMar>
          </w:tcPr>
          <w:p>
            <w:pPr>
              <w:spacing w:after="0" w:before="0"/>
            </w:pPr>
            <w:r>
              <w:rPr>
                <w:b/>
                <w:bCs/>
                <w:i w:val="false"/>
                <w:iCs w:val="false"/>
              </w:rPr>
              <w:t xml:space="preserve">1.3.1.1.2.3.1</w:t>
            </w:r>
            <w:r>
              <w:rPr>
                <w:b w:val="false"/>
                <w:bCs w:val="false"/>
                <w:i w:val="false"/>
                <w:iCs w:val="false"/>
              </w:rPr>
              <w:t xml:space="preserve"> Secure integration layer: REST, SOAP, XML/JSON, flat-file, message queues and secure middleware.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integration gateway supports REST APIs, SOAP web services, JSON and XML payloads validated against schemas, delimited or fixed-width flat files by secure file transfer, and message queues. Middleware provides orchestration, routing, exception handling and bounded retry, over TLS with mutual certificate authentication to NRIS. The transport for each exchange is fixed in its Interface Control Document.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 7.2, 7.4 and 10.5</w:t>
            </w:r>
          </w:p>
        </w:tc>
      </w:tr>
      <w:tr>
        <w:tc>
          <w:tcPr>
            <w:tcW w:type="dxa" w:w="2000"/>
            <w:tcMar>
              <w:top w:type="dxa" w:w="60"/>
              <w:left w:type="dxa" w:w="100"/>
              <w:bottom w:type="dxa" w:w="60"/>
              <w:right w:type="dxa" w:w="100"/>
            </w:tcMar>
          </w:tcPr>
          <w:p>
            <w:pPr>
              <w:spacing w:after="0" w:before="0"/>
            </w:pPr>
            <w:r>
              <w:rPr>
                <w:b/>
                <w:bCs/>
                <w:i w:val="false"/>
                <w:iCs w:val="false"/>
              </w:rPr>
              <w:t xml:space="preserve">1.3.1.1.2.3.2</w:t>
            </w:r>
            <w:r>
              <w:rPr>
                <w:b w:val="false"/>
                <w:bCs w:val="false"/>
                <w:i w:val="false"/>
                <w:iCs w:val="false"/>
              </w:rPr>
              <w:t xml:space="preserve"> Integration with NRIS, database synchronization, external verification, courier and audit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single gateway integrates with the NRIS API the Purchaser provides, as clarified in the Clarifications to Queries 005, with database synchronization where the Purchaser approves. The signed QR code is verifiable offline by external verifiers, courier tracking uses a configured interface, audit records synchronize with NRIS, and security events go to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2.1, 4.5, 7.5, 7.14, 8.6, 10.7 and 13.2</w:t>
            </w:r>
          </w:p>
        </w:tc>
      </w:tr>
      <w:tr>
        <w:tc>
          <w:tcPr>
            <w:tcW w:type="dxa" w:w="2000"/>
            <w:tcMar>
              <w:top w:type="dxa" w:w="60"/>
              <w:left w:type="dxa" w:w="100"/>
              <w:bottom w:type="dxa" w:w="60"/>
              <w:right w:type="dxa" w:w="100"/>
            </w:tcMar>
          </w:tcPr>
          <w:p>
            <w:pPr>
              <w:spacing w:after="0" w:before="0"/>
            </w:pPr>
            <w:r>
              <w:rPr>
                <w:b/>
                <w:bCs/>
                <w:i w:val="false"/>
                <w:iCs w:val="false"/>
              </w:rPr>
              <w:t xml:space="preserve">1.3.1.1.2.4.1</w:t>
            </w:r>
            <w:r>
              <w:rPr>
                <w:b w:val="false"/>
                <w:bCs w:val="false"/>
                <w:i w:val="false"/>
                <w:iCs w:val="false"/>
              </w:rPr>
              <w:t xml:space="preserve"> Enterprise database: high-volume transactions, ACID, replication, clustering, high availability, encryption at rest, backup.</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SQL Server runs as a two-node cluster on dedicated database hosts over a dual-controller array, giving ACID transactions at production volume and failover without loss of committed work. It replicates to the secondary site within 5 minutes, is encrypted at rest with AES-256, and is backed up full, incremental and differential to immutable storage with point-in-time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9.3, 9.4, 10.2 and 12.3</w:t>
            </w:r>
          </w:p>
        </w:tc>
      </w:tr>
      <w:tr>
        <w:tc>
          <w:tcPr>
            <w:tcW w:type="dxa" w:w="2000"/>
            <w:tcMar>
              <w:top w:type="dxa" w:w="60"/>
              <w:left w:type="dxa" w:w="100"/>
              <w:bottom w:type="dxa" w:w="60"/>
              <w:right w:type="dxa" w:w="100"/>
            </w:tcMar>
          </w:tcPr>
          <w:p>
            <w:pPr>
              <w:spacing w:after="0" w:before="0"/>
            </w:pPr>
            <w:r>
              <w:rPr>
                <w:b/>
                <w:bCs/>
                <w:i w:val="false"/>
                <w:iCs w:val="false"/>
              </w:rPr>
              <w:t xml:space="preserve">1.3.1.1.2.4.2</w:t>
            </w:r>
            <w:r>
              <w:rPr>
                <w:b w:val="false"/>
                <w:bCs w:val="false"/>
                <w:i w:val="false"/>
                <w:iCs w:val="false"/>
              </w:rPr>
              <w:t xml:space="preserve"> Data layer manages identity, personalization, production and audit logs, telemetry, mailing and dispatch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One database platform holds identity and personalization data, production logs, audit logs, machine telemetry, and mailing and dispatch data under one backup and retention regime, so a card is traceable across all. As clarified in the Responses to Queries 003, identity data is held only while production requires it, and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7.8, 9.1 and 10.2</w:t>
            </w:r>
          </w:p>
        </w:tc>
      </w:tr>
      <w:tr>
        <w:tc>
          <w:tcPr>
            <w:tcW w:type="dxa" w:w="2000"/>
            <w:tcMar>
              <w:top w:type="dxa" w:w="60"/>
              <w:left w:type="dxa" w:w="100"/>
              <w:bottom w:type="dxa" w:w="60"/>
              <w:right w:type="dxa" w:w="100"/>
            </w:tcMar>
          </w:tcPr>
          <w:p>
            <w:pPr>
              <w:spacing w:after="0" w:before="0"/>
            </w:pPr>
            <w:r>
              <w:rPr>
                <w:b/>
                <w:bCs/>
                <w:i w:val="false"/>
                <w:iCs w:val="false"/>
              </w:rPr>
              <w:t xml:space="preserve">1.3.1.1.2.5.1</w:t>
            </w:r>
            <w:r>
              <w:rPr>
                <w:b w:val="false"/>
                <w:bCs w:val="false"/>
                <w:i w:val="false"/>
                <w:iCs w:val="false"/>
              </w:rPr>
              <w:t xml:space="preserve"> Identity and access management: RBAC, MFA, privileged access controls and session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System's own directory and single sign-on give each user one identity. Rights are granted to roles, never to individuals; MFA is required for operators, administrators and all privileged access; privileged credentials are held under management and issued just in time for a session and purpose; and session timeouts, concurrent session limits and account lockout are enforced. [CONFIRM: The Responses to Queries 003 say NRB will provide its existing Active Directory for integration, while the Clarifications to Queries 005 require a net-new, self-contained solution using no existing NRB resources. System Architecture Section 10.3 runs the System's own directory. Inkript to confirm whether integration with NRB's Active Directory should also be offered.]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6.12, 9.4 and 10.3</w:t>
            </w:r>
          </w:p>
        </w:tc>
      </w:tr>
      <w:tr>
        <w:tc>
          <w:tcPr>
            <w:tcW w:type="dxa" w:w="2000"/>
            <w:tcMar>
              <w:top w:type="dxa" w:w="60"/>
              <w:left w:type="dxa" w:w="100"/>
              <w:bottom w:type="dxa" w:w="60"/>
              <w:right w:type="dxa" w:w="100"/>
            </w:tcMar>
          </w:tcPr>
          <w:p>
            <w:pPr>
              <w:spacing w:after="0" w:before="0"/>
            </w:pPr>
            <w:r>
              <w:rPr>
                <w:b/>
                <w:bCs/>
                <w:i w:val="false"/>
                <w:iCs w:val="false"/>
              </w:rPr>
              <w:t xml:space="preserve">1.3.1.1.2.5.2</w:t>
            </w:r>
            <w:r>
              <w:rPr>
                <w:b w:val="false"/>
                <w:bCs w:val="false"/>
                <w:i w:val="false"/>
                <w:iCs w:val="false"/>
              </w:rPr>
              <w:t xml:space="preserve"> Data security: AES-256, TLS 1.2+, secure API authentication, digital certificates, key management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Personal data is encrypted with AES-256 at rest and TLS 1.2 or higher protects every interface. APIs require mutual certificate or service-credential authentication, with certificates from the Government PKI. The Document Signer key stays in FIPS-validated HSMs integrated with the e-Government PKI, as clarified in the Clarifications to Queries 005.</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7.4, 10.2, 10.4 and 10.5</w:t>
            </w:r>
          </w:p>
        </w:tc>
      </w:tr>
      <w:tr>
        <w:tc>
          <w:tcPr>
            <w:tcW w:type="dxa" w:w="2000"/>
            <w:tcMar>
              <w:top w:type="dxa" w:w="60"/>
              <w:left w:type="dxa" w:w="100"/>
              <w:bottom w:type="dxa" w:w="60"/>
              <w:right w:type="dxa" w:w="100"/>
            </w:tcMar>
          </w:tcPr>
          <w:p>
            <w:pPr>
              <w:spacing w:after="0" w:before="0"/>
            </w:pPr>
            <w:r>
              <w:rPr>
                <w:b/>
                <w:bCs/>
                <w:i w:val="false"/>
                <w:iCs w:val="false"/>
              </w:rPr>
              <w:t xml:space="preserve">1.3.1.1.2.5.3</w:t>
            </w:r>
            <w:r>
              <w:rPr>
                <w:b w:val="false"/>
                <w:bCs w:val="false"/>
                <w:i w:val="false"/>
                <w:iCs w:val="false"/>
              </w:rPr>
              <w:t xml:space="preserve"> Operational security: audit trails, tamper-proof logs, security event monitoring, intrusion detection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Production actions, user actions and security events are logged, and audit records are written once to storage that no user, administrator included, can alter, with verifiable integrity and ten-year retention. SIEM with user behavior analytics monitors all sources around the clock, and next generation firewalls provide intrusion detection and prevention, alerting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9.2, 10.6 and 10.7</w:t>
            </w:r>
          </w:p>
        </w:tc>
      </w:tr>
      <w:tr>
        <w:tc>
          <w:tcPr>
            <w:tcW w:type="dxa" w:w="2000"/>
            <w:tcMar>
              <w:top w:type="dxa" w:w="60"/>
              <w:left w:type="dxa" w:w="100"/>
              <w:bottom w:type="dxa" w:w="60"/>
              <w:right w:type="dxa" w:w="100"/>
            </w:tcMar>
          </w:tcPr>
          <w:p>
            <w:pPr>
              <w:spacing w:after="0" w:before="0"/>
            </w:pPr>
            <w:r>
              <w:rPr>
                <w:b/>
                <w:bCs/>
                <w:i w:val="false"/>
                <w:iCs w:val="false"/>
              </w:rPr>
              <w:t xml:space="preserve">1.3.1.1.2.6.1</w:t>
            </w:r>
            <w:r>
              <w:rPr>
                <w:b w:val="false"/>
                <w:bCs w:val="false"/>
                <w:i w:val="false"/>
                <w:iCs w:val="false"/>
              </w:rPr>
              <w:t xml:space="preserve"> Monitoring dashboards, production and machine health, alerting, analytics, SLA, consumables stock, predictive maintenance.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Monitoring, Reporting and Analytics presents the whole facility on one view, with real-time throughput and reject rates, machine health, performance analytics, SLA monitoring and predictive maintenance from error rates and cycle counts. Alerts reach dashboards, email and SMS. Stock Control tracks serialized blanks, carriers, envelopes and other consumables with low-stock alerts, reporting each blank's status to NRIS. [CONFIRM: Predictive maintenance depends on the equipment exposing the needed telemetry (System Architecture Section 12.2). Inkript to confirm with both equipment manufacturers.]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6.10, 6.11 and 12.2</w:t>
            </w:r>
          </w:p>
        </w:tc>
      </w:tr>
      <w:tr>
        <w:tc>
          <w:tcPr>
            <w:tcW w:type="dxa" w:w="2000"/>
            <w:tcMar>
              <w:top w:type="dxa" w:w="60"/>
              <w:left w:type="dxa" w:w="100"/>
              <w:bottom w:type="dxa" w:w="60"/>
              <w:right w:type="dxa" w:w="100"/>
            </w:tcMar>
          </w:tcPr>
          <w:p>
            <w:pPr>
              <w:spacing w:after="0" w:before="0"/>
            </w:pPr>
            <w:r>
              <w:rPr>
                <w:b/>
                <w:bCs/>
                <w:i w:val="false"/>
                <w:iCs w:val="false"/>
              </w:rPr>
              <w:t xml:space="preserve">1.3.1.1.2.7</w:t>
            </w:r>
            <w:r>
              <w:rPr>
                <w:b w:val="false"/>
                <w:bCs w:val="false"/>
                <w:i w:val="false"/>
                <w:iCs w:val="false"/>
              </w:rPr>
              <w:t xml:space="preserve"> Clustering, automated failover, print job load balancing, backup replication, DR sync, point-in-time recovery, HA database.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active application servers are load balanced across a two-host failover cluster, and the database runs as a two-node high availability cluster, with failover initiated automatically within 60 seconds. Printing jobs are balanced across the lines, backups replicate to immutable storage at the secondary site, the database synchronizes there within 5 minutes, and point-in-time recovery is supported.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6.2, 9.1, 9.3 and 12.3</w:t>
            </w:r>
          </w:p>
        </w:tc>
      </w:tr>
      <w:tr>
        <w:tc>
          <w:tcPr>
            <w:tcW w:type="dxa" w:w="2000"/>
            <w:tcMar>
              <w:top w:type="dxa" w:w="60"/>
              <w:left w:type="dxa" w:w="100"/>
              <w:bottom w:type="dxa" w:w="60"/>
              <w:right w:type="dxa" w:w="100"/>
            </w:tcMar>
          </w:tcPr>
          <w:p>
            <w:pPr>
              <w:spacing w:after="0" w:before="0"/>
            </w:pPr>
            <w:r>
              <w:rPr>
                <w:b/>
                <w:bCs/>
                <w:i w:val="false"/>
                <w:iCs w:val="false"/>
              </w:rPr>
              <w:t xml:space="preserve">1.3.1.2.1</w:t>
            </w:r>
            <w:r>
              <w:rPr>
                <w:b w:val="false"/>
                <w:bCs w:val="false"/>
                <w:i w:val="false"/>
                <w:iCs w:val="false"/>
              </w:rPr>
              <w:t xml:space="preserve"> Secure, scalable, redundant, enterprise-grade hardware architecture for a mission-critical identity personalization environment.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estate is net-new: four enterprise servers, each with two 24-core processors and 256 GB, in application and database clusters on a dual-controller RAID 6 array of not less than 20 TB usable after RAID; redundant layer 3 core switches; a high availability firewall pair; one HSM at each site; and an encrypted backup repository and 40 TB of immutable backup storage at each site. The secondary site runs one standalone server on internal storage. Secure boot applies throughout, and capacity grows by adding drives.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and 9.4</w:t>
            </w:r>
          </w:p>
        </w:tc>
      </w:tr>
      <w:tr>
        <w:tc>
          <w:tcPr>
            <w:tcW w:type="dxa" w:w="2000"/>
            <w:tcMar>
              <w:top w:type="dxa" w:w="60"/>
              <w:left w:type="dxa" w:w="100"/>
              <w:bottom w:type="dxa" w:w="60"/>
              <w:right w:type="dxa" w:w="100"/>
            </w:tcMar>
          </w:tcPr>
          <w:p>
            <w:pPr>
              <w:spacing w:after="0" w:before="0"/>
            </w:pPr>
            <w:r>
              <w:rPr>
                <w:b/>
                <w:bCs/>
                <w:i w:val="false"/>
                <w:iCs w:val="false"/>
              </w:rPr>
              <w:t xml:space="preserve">1.3.1.2.2.1.1</w:t>
            </w:r>
            <w:r>
              <w:rPr>
                <w:b w:val="false"/>
                <w:bCs w:val="false"/>
                <w:i w:val="false"/>
                <w:iCs w:val="false"/>
              </w:rPr>
              <w:t xml:space="preserve"> Two modular duplex fiber or diode laser systems, 2,000 cards/hour, grayscale, QR, CLI, independent stations.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modular fiber laser systems mark both faces in one pass, with grayscale, QR and CLI. As clarified in the Response to Clarifications 001, 2,000 cards per hour is the combined rate, at least 1,000 per machine. Each station marks a whole card alone and can leave service without stopping the line, as tested at factory acceptance. [CONFIRM: The S8000 datasheet states up to 2,000 cph. Inkript to confirm each machine sustains at least 1,000 accepted duplex cards per hour with full content (Preliminary Project Plan Section 2.9 risk R3), and to obtain OEM evidence of independent station operation (Document Register item 1.13).]</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3.1, 3.4 and 3.5; Preliminary Project Plan Section 4.3;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1.3.1.2.2.1.2</w:t>
            </w:r>
            <w:r>
              <w:rPr>
                <w:b w:val="false"/>
                <w:bCs w:val="false"/>
                <w:i w:val="false"/>
                <w:iCs w:val="false"/>
              </w:rPr>
              <w:t xml:space="preserve"> Line components: engraving units, feeders, transport, reject modules, verification cameras, cooling, compressors, control PCs.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line comprises a 600-card feeder, positionally controlled card transport, integrated laser engraving units, verification cameras and scanners reading OCR text and codes on both faces, a card reject module, an integrated laser cooling system, an air compressor for pneumatic handling, a 600-card stacker and an industrial control PC running the machine software. [CONFIRM: The S8000 datasheet shows no cooling or air compressor detail and lists vision inspection as an option, which must be ordered. The dedicated power and air pressure document with the compressor specification (Document Register item 1.4) is needed from the OEM.]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3.1 and 3.6;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1.3.1.2.2.1.3</w:t>
            </w:r>
            <w:r>
              <w:rPr>
                <w:b w:val="false"/>
                <w:bCs w:val="false"/>
                <w:i w:val="false"/>
                <w:iCs w:val="false"/>
              </w:rPr>
              <w:t xml:space="preserve"> Two automated mailing systems: insertion, carrier printing, affixing, barcode/QR verification, rejects, buffers, sorting, 2,000/hour.</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automated mailing lines each read the card identifier, print the personalized carrier, affix one to four cards, verify card and carrier by 1D, 2D or QR code, fold, insert and seal. Reject magazines, buffer modules and destination sorting are included. As clarified in the Clarifications to Queries 005, combined capacity is 2,000 single-card mailers per hour. [CONFIRM: The MS1000 datasheet rates up to 1,000 cph per machine with no margin, lists the reading station as optional, and does not show sealing, buffer modules or dispatch sorting. Inkript to confirm the configuration and rate with the OEM.]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5.1, 5.4, 5.5 and 5.6; Attachment: MS1000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1.3.1.2.2.1.4</w:t>
            </w:r>
            <w:r>
              <w:rPr>
                <w:b w:val="false"/>
                <w:bCs w:val="false"/>
                <w:i w:val="false"/>
                <w:iCs w:val="false"/>
              </w:rPr>
              <w:t xml:space="preserve"> Disaster recovery: primary and secondary environments, backup replication, offsite backup storage, DR synchronization.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and the Clarifications to Queries 005, Inkript equips the existing NRB disaster recovery site in Blantyre with a secondary environment, operational at Operational Acceptance, holding on one standalone server a replicated database within 5 minutes of the primary and standby virtual machines, with a replicated HSM and encrypted, immutable offsite backup copies, linked over an encrypted tunnel.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9.2, 9.3 and 12.3; Cybersecurity Risk Management Plan Section 8.1; Preliminary Project Plan Section 2.5</w:t>
            </w:r>
          </w:p>
        </w:tc>
      </w:tr>
      <w:tr>
        <w:tc>
          <w:tcPr>
            <w:tcW w:type="dxa" w:w="2000"/>
            <w:tcMar>
              <w:top w:type="dxa" w:w="60"/>
              <w:left w:type="dxa" w:w="100"/>
              <w:bottom w:type="dxa" w:w="60"/>
              <w:right w:type="dxa" w:w="100"/>
            </w:tcMar>
          </w:tcPr>
          <w:p>
            <w:pPr>
              <w:spacing w:after="0" w:before="0"/>
            </w:pPr>
            <w:r>
              <w:rPr>
                <w:b/>
                <w:bCs/>
                <w:i w:val="false"/>
                <w:iCs w:val="false"/>
              </w:rPr>
              <w:t xml:space="preserve">1.3.1.2.2.1.5</w:t>
            </w:r>
            <w:r>
              <w:rPr>
                <w:b w:val="false"/>
                <w:bCs w:val="false"/>
                <w:i w:val="false"/>
                <w:iCs w:val="false"/>
              </w:rPr>
              <w:t xml:space="preserve"> Facility infrastructure: power (UPS, generator, ATS, PDUs, grounding), environmental and physical security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facility works provide UPS, generator with automatic transfer, power distribution with rack PDUs and grounding; air conditioning with humidity control, precision cooling, air filtration and environmental monitoring linked to alerting; and biometric access control, CCTV, intrusion detection and clean agent fire suppression. As clarified in the Responses to Queries 003, none relies on existing site infrastructure. [GAP: System Architecture Section 9.5 states the provisions, but the proposal documents hold no facility design, ratings or product specifications for the UPS, generator, ATS, HVAC, CCTV, access control or fire suppression. These come from the facility works and should be added or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9.2, 9.5 and 13.1</w:t>
            </w:r>
          </w:p>
        </w:tc>
      </w:tr>
      <w:tr>
        <w:tc>
          <w:tcPr>
            <w:tcW w:type="dxa" w:w="2000"/>
            <w:tcMar>
              <w:top w:type="dxa" w:w="60"/>
              <w:left w:type="dxa" w:w="100"/>
              <w:bottom w:type="dxa" w:w="60"/>
              <w:right w:type="dxa" w:w="100"/>
            </w:tcMar>
          </w:tcPr>
          <w:p>
            <w:pPr>
              <w:spacing w:after="0" w:before="0"/>
            </w:pPr>
            <w:r>
              <w:rPr>
                <w:b/>
                <w:bCs/>
                <w:i w:val="false"/>
                <w:iCs w:val="false"/>
              </w:rPr>
              <w:t xml:space="preserve">1.3.1.3.1</w:t>
            </w:r>
            <w:r>
              <w:rPr>
                <w:b w:val="false"/>
                <w:bCs w:val="false"/>
                <w:i w:val="false"/>
                <w:iCs w:val="false"/>
              </w:rPr>
              <w:t xml:space="preserve"> Network with segregated External Integration, DMZ, Application, Database, Machine Control, Management zones.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six zones are among ten segregated zones, each its own VLAN, which add the User Network, Management Network, Storage Zone and Backup Zone; the Management zone is the Management and Monitoring Zone. Traffic between zones is routed only through the next generation firewall pair under zone policy and intrusion prevention, and the Storage Zone is not routed. The DMZ is provisioned with policy and addressing but carries no service at go-live, and the machine lines connect to their own physically separate access switches.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and 9.2</w:t>
            </w:r>
          </w:p>
        </w:tc>
      </w:tr>
      <w:tr>
        <w:tc>
          <w:tcPr>
            <w:tcW w:type="dxa" w:w="2000"/>
            <w:tcMar>
              <w:top w:type="dxa" w:w="60"/>
              <w:left w:type="dxa" w:w="100"/>
              <w:bottom w:type="dxa" w:w="60"/>
              <w:right w:type="dxa" w:w="100"/>
            </w:tcMar>
          </w:tcPr>
          <w:p>
            <w:pPr>
              <w:spacing w:after="0" w:before="0"/>
            </w:pPr>
            <w:r>
              <w:rPr>
                <w:b/>
                <w:bCs/>
                <w:i w:val="false"/>
                <w:iCs w:val="false"/>
              </w:rPr>
              <w:t xml:space="preserve">1.3.1.3.2</w:t>
            </w:r>
            <w:r>
              <w:rPr>
                <w:b w:val="false"/>
                <w:bCs w:val="false"/>
                <w:i w:val="false"/>
                <w:iCs w:val="false"/>
              </w:rPr>
              <w:t xml:space="preserve"> Network supports VLAN segmentation, firewall isolation, secure remote administration and encrypted communications.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zone is its own VLAN, isolated by firewall policy with no zone reachable by default. Remote administration arrives through access arranged with NRB and e-Government, as clarified in the Responses to Queries 003, encrypted to the firewall pair, authenticated with MFA and limited to the administrative access host. TLS 1.2 or higher protects all communications.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9.2, 10.2 and 10.3</w:t>
            </w:r>
          </w:p>
        </w:tc>
      </w:tr>
    </w:tbl>
    <w:p>
      <w:pPr>
        <w:spacing w:after="140"/>
      </w:pPr>
    </w:p>
    <w:p>
      <w:pPr>
        <w:pStyle w:val="Heading2"/>
        <w:numPr>
          <w:ilvl w:val="1"/>
          <w:numId w:val="2"/>
        </w:numPr>
        <w:spacing w:after="140" w:before="260"/>
      </w:pPr>
      <w:r>
        <w:t xml:space="preserve">S</w:t>
      </w:r>
      <w:bookmarkStart w:name="sec_1_4" w:id="1"/>
      <w:r>
        <w:rPr>
          <w:b w:val="false"/>
          <w:bCs w:val="false"/>
          <w:i w:val="false"/>
          <w:iCs w:val="false"/>
        </w:rPr>
        <w:t xml:space="preserve">ystems administration and management functions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1.4.1.2</w:t>
            </w:r>
            <w:r>
              <w:rPr>
                <w:b w:val="false"/>
                <w:bCs w:val="false"/>
                <w:i w:val="false"/>
                <w:iCs w:val="false"/>
              </w:rPr>
              <w:t xml:space="preserve"> Controlled installation, configuration, change management and configuration governance for all hardware, software, middleware and security components.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Repeatable, guided installation applies hardened baseline templates for servers, databases, personalization and mailing machines, and versioned configuration with protected parameters is deployed centrally to development, training, user acceptance testing and production. Changes pass role-separated request, approve, implement and verify steps with logging, impact analysis, rollback, versioned releases, maintenance windows, reviewed emergency changes and drift detection against approved baselines.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and 12.1; Change Management Plan Sections 5.1 and 5.2</w:t>
            </w:r>
          </w:p>
        </w:tc>
      </w:tr>
      <w:tr>
        <w:tc>
          <w:tcPr>
            <w:tcW w:type="dxa" w:w="1890"/>
            <w:tcMar>
              <w:top w:type="dxa" w:w="60"/>
              <w:left w:type="dxa" w:w="100"/>
              <w:bottom w:type="dxa" w:w="60"/>
              <w:right w:type="dxa" w:w="100"/>
            </w:tcMar>
          </w:tcPr>
          <w:p>
            <w:pPr>
              <w:spacing w:after="0" w:before="0"/>
            </w:pPr>
            <w:r>
              <w:rPr>
                <w:b/>
                <w:bCs/>
                <w:i w:val="false"/>
                <w:iCs w:val="false"/>
              </w:rPr>
              <w:t xml:space="preserve">1.4.1.3</w:t>
            </w:r>
            <w:r>
              <w:rPr>
                <w:b w:val="false"/>
                <w:bCs w:val="false"/>
                <w:i w:val="false"/>
                <w:iCs w:val="false"/>
              </w:rPr>
              <w:t xml:space="preserve"> Real-time monitoring, diagnostics, troubleshooting and performance monitoring across the personalization and mailing environment.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Real-time dashboards monitor line throughput, mailing, servers, database, network, storage, temperature, humidity, power and UPS 24/7, with threshold alerts by dashboard, email and SMS and escalation. Tools include diagnostics, self-checks, error code interpretation, predictive analytics, guided workflows, log aggregation, event correlation, root cause analysis, remote troubleshooting, fault simulation and automatic ticketing, with SLA, capacity and historical trend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3.9, 6.11, 9.5 and 12.2</w:t>
            </w:r>
          </w:p>
        </w:tc>
      </w:tr>
      <w:tr>
        <w:tc>
          <w:tcPr>
            <w:tcW w:type="dxa" w:w="1890"/>
            <w:tcMar>
              <w:top w:type="dxa" w:w="60"/>
              <w:left w:type="dxa" w:w="100"/>
              <w:bottom w:type="dxa" w:w="60"/>
              <w:right w:type="dxa" w:w="100"/>
            </w:tcMar>
          </w:tcPr>
          <w:p>
            <w:pPr>
              <w:spacing w:after="0" w:before="0"/>
            </w:pPr>
            <w:r>
              <w:rPr>
                <w:b/>
                <w:bCs/>
                <w:i w:val="false"/>
                <w:iCs w:val="false"/>
              </w:rPr>
              <w:t xml:space="preserve">1.4.1.4</w:t>
            </w:r>
            <w:r>
              <w:rPr>
                <w:b w:val="false"/>
                <w:bCs w:val="false"/>
                <w:i w:val="false"/>
                <w:iCs w:val="false"/>
              </w:rPr>
              <w:t xml:space="preserve"> User administration, access control, user activity monitoring and immutable audit trails for secure operations.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One console provisions, modifies and deactivates accounts under role-based access for operators, supervisors, administrators, security administrators and auditors, with MFA, PAM, time-bound access, least privilege, separation of duties, context-aware restrictions, session timeout, lockout and NIST SP 800-63B passwords. Every action is logged, behavior analytics flag anomalies, and audit trails are tamper-proof, time-stamped, searchable, exportable and retained ten years.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6.12, 10.3, 10.6 and 10.7</w:t>
            </w:r>
          </w:p>
        </w:tc>
      </w:tr>
      <w:tr>
        <w:tc>
          <w:tcPr>
            <w:tcW w:type="dxa" w:w="1890"/>
            <w:tcMar>
              <w:top w:type="dxa" w:w="60"/>
              <w:left w:type="dxa" w:w="100"/>
              <w:bottom w:type="dxa" w:w="60"/>
              <w:right w:type="dxa" w:w="100"/>
            </w:tcMar>
          </w:tcPr>
          <w:p>
            <w:pPr>
              <w:spacing w:after="0" w:before="0"/>
            </w:pPr>
            <w:r>
              <w:rPr>
                <w:b/>
                <w:bCs/>
                <w:i w:val="false"/>
                <w:iCs w:val="false"/>
              </w:rPr>
              <w:t xml:space="preserve">1.4.1.5</w:t>
            </w:r>
            <w:r>
              <w:rPr>
                <w:b w:val="false"/>
                <w:bCs w:val="false"/>
                <w:i w:val="false"/>
                <w:iCs w:val="false"/>
              </w:rPr>
              <w:t xml:space="preserve"> Cybersecurity framework covering security features, information controls, enforced policies, security monitoring, incident response and vulnerability management.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Supplied FIPS-validated HSMs sign each card's QR code using the e-Government PKI (Clarifications to Queries 005). Controls include AES-256 and TLS encryption, secure boot, segmentation, next generation firewalls with IPS, EDR, API authentication, data classification, masking, key lifecycle, export control, dual-custody card destruction, eight enforced policies, SIEM, incident workflows, forensics, scanning, penetration testing, automated patching and compliance dashboards. [CONFIRM: Secure boot is stated for the hosts, virtual machines, backup storage and workstations, and signed firmware for the network, storage and security devices, but not for the equipment manufacturer's industrial control PCs on the personalization and mailing lines. The clause says all servers and devices, so Inkript to confirm secure boot on those PCs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6.10, 9.1, 9.2, 10.2, 10.4, 10.5 and 10.7; Cybersecurity Risk Management Plan Sections 2.2 and 7.2</w:t>
            </w:r>
          </w:p>
        </w:tc>
      </w:tr>
      <w:tr>
        <w:tc>
          <w:tcPr>
            <w:tcW w:type="dxa" w:w="1890"/>
            <w:tcMar>
              <w:top w:type="dxa" w:w="60"/>
              <w:left w:type="dxa" w:w="100"/>
              <w:bottom w:type="dxa" w:w="60"/>
              <w:right w:type="dxa" w:w="100"/>
            </w:tcMar>
          </w:tcPr>
          <w:p>
            <w:pPr>
              <w:spacing w:after="0" w:before="0"/>
            </w:pPr>
            <w:r>
              <w:rPr>
                <w:b/>
                <w:bCs/>
                <w:i w:val="false"/>
                <w:iCs w:val="false"/>
              </w:rPr>
              <w:t xml:space="preserve">1.4.1.6</w:t>
            </w:r>
            <w:r>
              <w:rPr>
                <w:b w:val="false"/>
                <w:bCs w:val="false"/>
                <w:i w:val="false"/>
                <w:iCs w:val="false"/>
              </w:rPr>
              <w:t xml:space="preserve"> Automated backup, backup management, disaster recovery, DR testing and guided system restoration capabilities.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Veeam Backup &amp; Replication manages scheduled, encrypted, verified full, incremental and differential database, configuration, application and audit log backups, which replicate to immutable offsite storage, with retention policy and failure alerts. Hosts fail over automatically; the warm standby is invoked by documented procedure, at Supplier-defined RTO 5 to 15 minutes and RPO 5 minutes. Annual drills verify integrity; restoration is guided, granular and point-in-time. [CONFIRM: The clause aims at uninterrupted card production, but the secondary environment carries only the data and application services: it has no personalization or mailing equipment, so a loss of the primary site stops card production until that site is restored. Inkript to confirm this position, which also applies to clause 1.5.2.6. Clarifications to Queries 005 leaves the RTO and RPO for the Supplier to define and agree with the Purchaser, and the figures are still to be agreed during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9.3 and 12.3; Cybersecurity Risk Management Plan Sections 8.1 and 8.2</w:t>
            </w:r>
          </w:p>
        </w:tc>
      </w:tr>
    </w:tbl>
    <w:p>
      <w:pPr>
        <w:spacing w:after="140"/>
      </w:pPr>
    </w:p>
    <w:p>
      <w:pPr>
        <w:pStyle w:val="Heading2"/>
        <w:numPr>
          <w:ilvl w:val="1"/>
          <w:numId w:val="2"/>
        </w:numPr>
        <w:spacing w:after="140" w:before="260"/>
      </w:pPr>
      <w:r>
        <w:t xml:space="preserve">P</w:t>
      </w:r>
      <w:bookmarkStart w:name="sec_1_5" w:id="1"/>
      <w:r>
        <w:rPr>
          <w:b w:val="false"/>
          <w:bCs w:val="false"/>
          <w:i w:val="false"/>
          <w:iCs w:val="false"/>
        </w:rPr>
        <w:t xml:space="preserve">erformance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1.5.1</w:t>
            </w:r>
            <w:r>
              <w:rPr>
                <w:b w:val="false"/>
                <w:bCs w:val="false"/>
                <w:i w:val="false"/>
                <w:iCs w:val="false"/>
              </w:rPr>
              <w:t xml:space="preserve"> Guarantee the system meets minimum performance requirements under normal and peak operating conditions.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guarantees the throughput, response time, concurrency and data volume figures of clause 1.5.2 under normal and peak load, on a platform sized from those figures. Each figure is verified by throughput benchmark, load, stress, transaction integrity, sustained operation and failover testing before Operational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11.5 and 11.6</w:t>
            </w:r>
          </w:p>
        </w:tc>
      </w:tr>
      <w:tr>
        <w:tc>
          <w:tcPr>
            <w:tcW w:type="dxa" w:w="2000"/>
            <w:tcMar>
              <w:top w:type="dxa" w:w="60"/>
              <w:left w:type="dxa" w:w="100"/>
              <w:bottom w:type="dxa" w:w="60"/>
              <w:right w:type="dxa" w:w="100"/>
            </w:tcMar>
          </w:tcPr>
          <w:p>
            <w:pPr>
              <w:spacing w:after="0" w:before="0"/>
            </w:pPr>
            <w:r>
              <w:rPr>
                <w:b/>
                <w:bCs/>
                <w:i w:val="false"/>
                <w:iCs w:val="false"/>
              </w:rPr>
              <w:t xml:space="preserve">1.5.2.1.1</w:t>
            </w:r>
            <w:r>
              <w:rPr>
                <w:b w:val="false"/>
                <w:bCs w:val="false"/>
                <w:i w:val="false"/>
                <w:iCs w:val="false"/>
              </w:rPr>
              <w:t xml:space="preserve"> Continuous throughput of 28,000 cards per day in two shifts, 500 to 1,000 card batches, 24/7 capability.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lines of not less than 1,000 cards per hour each produce 28,000 cards in the two seven-hour shifts set by Responses to Queries 003, a window extendable for peak demand. Batches are configurable at 500 to 1,000 cards. The equipment is rated for 24/7 operation, with no degradation over sustained 8 to 12 hour cycles. [CONFIRM: Responses to Queries 003 states that throughput is measured on accepted finished cards, while Preliminary Project Plan Section 4.6 measures cards per hour without stating that basis. At the contractual rate, two lines over fourteen hours give exactly 28,000 cards, so any reject brings accepted output below the daily figure unless the lines run above 1,000 cards per hour. Inkript to align the measurement basis and confirm with the manufacturer the sustained accepted-card rate with the full duplex content.]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3.5, 6.2 and 11.1;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1.5.2.1.2</w:t>
            </w:r>
            <w:r>
              <w:rPr>
                <w:b w:val="false"/>
                <w:bCs w:val="false"/>
                <w:i w:val="false"/>
                <w:iCs w:val="false"/>
              </w:rPr>
              <w:t xml:space="preserve"> Minimum 1,000 cards per hour per line, simultaneous multi-line operation, non-stop reject and reprint.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personalization line delivers not less than 1,000 cards per hour, the per-machine minimum confirmed in Responses to Clarifications 001, against a rated speed of up to 2,000 in the manufacturer's datasheet. Both lines run concurrently on the same or different jobs, and rejected cards are diverted and reproduced within the job without stopping the flow. [CONFIRM: The datasheet figure of 2,000 cards per hour is a maximum ('up to'), not a measured sustained rate. Inkript to obtain the manufacturer's throughput test record for duplex personalization with the full card content before relying on the margin.]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3.5, 3.7, 6.2 and 11.1;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1.5.2.1.3</w:t>
            </w:r>
            <w:r>
              <w:rPr>
                <w:b w:val="false"/>
                <w:bCs w:val="false"/>
                <w:i w:val="false"/>
                <w:iCs w:val="false"/>
              </w:rPr>
              <w:t xml:space="preserve"> 28,000 envelopes per day with two machines in two shifts, matching, sealing, sorting, zero backlog.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mailing lines of not less than 1,000 mailers per hour each produce 28,000 envelopes in two seven-hour shifts, on the single-card basis stated in Clarifications to Queries 005. Each card is read twice and matched to its carrier by identifier, then inserted, sealed and sorted by destination in line, and matched capacity with buffer modules prevents backlog. [CONFIRM: The attached mailing system datasheet rates the machine at 'up to 1000 cph', exactly the contractual minimum per machine, which leaves no margin for rejects, stoppages or multi-card mailers, while operational acceptance test 4 requires 95 percent of nominal capacity at peak. The datasheet also describes the model as ideal for small to medium volumes. Inkript to confirm the sustained rate with the manufacturer or consider a higher-rated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5.3, 5.4, 5.5, 5.6 and 11.1; Attachment: MS1000 card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1.5.2.2.1</w:t>
            </w:r>
            <w:r>
              <w:rPr>
                <w:b w:val="false"/>
                <w:bCs w:val="false"/>
                <w:i w:val="false"/>
                <w:iCs w:val="false"/>
              </w:rPr>
              <w:t xml:space="preserve"> Application response times: interface 2 s, transactions and search 3 s, jobs 5 s, reports 10/60 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production load, standard queries respond within 2 seconds, transaction initiation and search within 3 seconds, job submission within 5 seconds, and standard and complex reports within 10 and 60 seconds. Status changes are pushed to interfaces as they are recorded, and load testing verifies each threshold before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6.13, 11.2 and 11.6; Preliminary Project Plan Section 4.4</w:t>
            </w:r>
          </w:p>
        </w:tc>
      </w:tr>
      <w:tr>
        <w:tc>
          <w:tcPr>
            <w:tcW w:type="dxa" w:w="2000"/>
            <w:tcMar>
              <w:top w:type="dxa" w:w="60"/>
              <w:left w:type="dxa" w:w="100"/>
              <w:bottom w:type="dxa" w:w="60"/>
              <w:right w:type="dxa" w:w="100"/>
            </w:tcMar>
          </w:tcPr>
          <w:p>
            <w:pPr>
              <w:spacing w:after="0" w:before="0"/>
            </w:pPr>
            <w:r>
              <w:rPr>
                <w:b/>
                <w:bCs/>
                <w:i w:val="false"/>
                <w:iCs w:val="false"/>
              </w:rPr>
              <w:t xml:space="preserve">1.5.2.2.2</w:t>
            </w:r>
            <w:r>
              <w:rPr>
                <w:b w:val="false"/>
                <w:bCs w:val="false"/>
                <w:i w:val="false"/>
                <w:iCs w:val="false"/>
              </w:rPr>
              <w:t xml:space="preserve"> Batch initiation 30 s, identity validation 2 to 5 s, near real-time encoding, 2 s commits.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Batch jobs initiate within 30 seconds, identity records are validated within 2 to 5 seconds, laser encoding of a released job starts in near real time, and database transactions commit within 2 seconds under normal load on dedicated clustered database hosts. Load testing verifies each figure.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11.2 and 11.6</w:t>
            </w:r>
          </w:p>
        </w:tc>
      </w:tr>
      <w:tr>
        <w:tc>
          <w:tcPr>
            <w:tcW w:type="dxa" w:w="2000"/>
            <w:tcMar>
              <w:top w:type="dxa" w:w="60"/>
              <w:left w:type="dxa" w:w="100"/>
              <w:bottom w:type="dxa" w:w="60"/>
              <w:right w:type="dxa" w:w="100"/>
            </w:tcMar>
          </w:tcPr>
          <w:p>
            <w:pPr>
              <w:spacing w:after="0" w:before="0"/>
            </w:pPr>
            <w:r>
              <w:rPr>
                <w:b/>
                <w:bCs/>
                <w:i w:val="false"/>
                <w:iCs w:val="false"/>
              </w:rPr>
              <w:t xml:space="preserve">1.5.2.2.3</w:t>
            </w:r>
            <w:r>
              <w:rPr>
                <w:b w:val="false"/>
                <w:bCs w:val="false"/>
                <w:i w:val="false"/>
                <w:iCs w:val="false"/>
              </w:rPr>
              <w:t xml:space="preserve"> Automatic failover within 60 seconds, full recovery in 5 to 15 minutes, DR lag 5 minutes.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Clustered application and database hosts fail over automatically within 60 seconds, full service recovers within 5 to 15 minutes, and replication keeps the secondary environment at the Purchaser's Blantyre data center within 5 minutes of production. Failover is tested by removing hosts and failing over to the secondary environment in pre-commissioning, operational acceptance and annually. [CONFIRM: The 5 minute synchronization depends on the bandwidth and latency of the Government Wide Area Network link, which the Purchaser provisions against the Supplier's stated requirements (Responses to Queries 04). Inkript to state the required link figures during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and 9.3; Preliminary Project Plan Section 4.4; Cybersecurity Risk Management Plan Section 8.1</w:t>
            </w:r>
          </w:p>
        </w:tc>
      </w:tr>
      <w:tr>
        <w:tc>
          <w:tcPr>
            <w:tcW w:type="dxa" w:w="2000"/>
            <w:tcMar>
              <w:top w:type="dxa" w:w="60"/>
              <w:left w:type="dxa" w:w="100"/>
              <w:bottom w:type="dxa" w:w="60"/>
              <w:right w:type="dxa" w:w="100"/>
            </w:tcMar>
          </w:tcPr>
          <w:p>
            <w:pPr>
              <w:spacing w:after="0" w:before="0"/>
            </w:pPr>
            <w:r>
              <w:rPr>
                <w:b/>
                <w:bCs/>
                <w:i w:val="false"/>
                <w:iCs w:val="false"/>
              </w:rPr>
              <w:t xml:space="preserve">1.5.2.3.1</w:t>
            </w:r>
            <w:r>
              <w:rPr>
                <w:b w:val="false"/>
                <w:bCs w:val="false"/>
                <w:i w:val="false"/>
                <w:iCs w:val="false"/>
              </w:rPr>
              <w:t xml:space="preserve"> Minimum 10 to 20 concurrent users, scalable to 100 without performance degradation.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platform is sized for 100 concurrent users from Operational Acceptance, above the 10 to 20 minimum restated in Clarifications to Queries 005, across two active load-balanced application servers each able to carry the full load. Stress testing validates 100 users and beyond, and capacity is added to the cluster without redesign.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11.3 and 11.6</w:t>
            </w:r>
          </w:p>
        </w:tc>
      </w:tr>
      <w:tr>
        <w:tc>
          <w:tcPr>
            <w:tcW w:type="dxa" w:w="2000"/>
            <w:tcMar>
              <w:top w:type="dxa" w:w="60"/>
              <w:left w:type="dxa" w:w="100"/>
              <w:bottom w:type="dxa" w:w="60"/>
              <w:right w:type="dxa" w:w="100"/>
            </w:tcMar>
          </w:tcPr>
          <w:p>
            <w:pPr>
              <w:spacing w:after="0" w:before="0"/>
            </w:pPr>
            <w:r>
              <w:rPr>
                <w:b/>
                <w:bCs/>
                <w:i w:val="false"/>
                <w:iCs w:val="false"/>
              </w:rPr>
              <w:t xml:space="preserve">1.5.2.3.2</w:t>
            </w:r>
            <w:r>
              <w:rPr>
                <w:b w:val="false"/>
                <w:bCs w:val="false"/>
                <w:i w:val="false"/>
                <w:iCs w:val="false"/>
              </w:rPr>
              <w:t xml:space="preserve"> Concurrent support for operators, supervisors, administrators, QA, auditors, management and API consumers.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operators, supervisors, system administrators, quality assurance personnel, security auditors, management and external API consumers work concurrently, each through a role-based interface showing only the functions and data the role grants, from the production consoles to the audit interface and the authenticated service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6.12, 6.13, 10.5 and 11.3</w:t>
            </w:r>
          </w:p>
        </w:tc>
      </w:tr>
      <w:tr>
        <w:tc>
          <w:tcPr>
            <w:tcW w:type="dxa" w:w="2000"/>
            <w:tcMar>
              <w:top w:type="dxa" w:w="60"/>
              <w:left w:type="dxa" w:w="100"/>
              <w:bottom w:type="dxa" w:w="60"/>
              <w:right w:type="dxa" w:w="100"/>
            </w:tcMar>
          </w:tcPr>
          <w:p>
            <w:pPr>
              <w:spacing w:after="0" w:before="0"/>
            </w:pPr>
            <w:r>
              <w:rPr>
                <w:b/>
                <w:bCs/>
                <w:i w:val="false"/>
                <w:iCs w:val="false"/>
              </w:rPr>
              <w:t xml:space="preserve">1.5.2.3.3</w:t>
            </w:r>
            <w:r>
              <w:rPr>
                <w:b w:val="false"/>
                <w:bCs w:val="false"/>
                <w:i w:val="false"/>
                <w:iCs w:val="false"/>
              </w:rPr>
              <w:t xml:space="preserve"> Configurable concurrent sessions and timeouts per role, with load balancing across application servers.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Concurrent session limits and session timeouts are configurable per role, an unattended session locks at its role's timeout, and application traffic is load balanced across two active application servers kept on different hosts.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6.13, 9.1, 10.3 and 11.3</w:t>
            </w:r>
          </w:p>
        </w:tc>
      </w:tr>
      <w:tr>
        <w:tc>
          <w:tcPr>
            <w:tcW w:type="dxa" w:w="2000"/>
            <w:tcMar>
              <w:top w:type="dxa" w:w="60"/>
              <w:left w:type="dxa" w:w="100"/>
              <w:bottom w:type="dxa" w:w="60"/>
              <w:right w:type="dxa" w:w="100"/>
            </w:tcMar>
          </w:tcPr>
          <w:p>
            <w:pPr>
              <w:spacing w:after="0" w:before="0"/>
            </w:pPr>
            <w:r>
              <w:rPr>
                <w:b/>
                <w:bCs/>
                <w:i w:val="false"/>
                <w:iCs w:val="false"/>
              </w:rPr>
              <w:t xml:space="preserve">1.5.2.4.1</w:t>
            </w:r>
            <w:r>
              <w:rPr>
                <w:b w:val="false"/>
                <w:bCs w:val="false"/>
                <w:i w:val="false"/>
                <w:iCs w:val="false"/>
              </w:rPr>
              <w:t xml:space="preserve"> Card encoding, printing, re-issuance and reprint transactions, as amended by Addendum No. 2.</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amended by Addendum No. 2, card encoding is by laser engraving, since the card is chipless, as Responses to Clarifications 001 confirms, and has no magnetic stripe. Encoding, card printing, re-issuance and reprint transactions are each recorded against the initiating identity and the affected record, with reprints produced within the originating job and reissues after dispatch. [CONFIRM: Addendum No. 2 still lists magnetic encoding ('magnetic/laser engraving'). The card specified in clause 3.4 carries no magnetic stripe, and the proposal treats encoding as laser engraving only. Inkript to confirm that magnetic encoding is not required.]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3.7, 6.2, 7.12 and 11.4</w:t>
            </w:r>
          </w:p>
        </w:tc>
      </w:tr>
      <w:tr>
        <w:tc>
          <w:tcPr>
            <w:tcW w:type="dxa" w:w="2000"/>
            <w:tcMar>
              <w:top w:type="dxa" w:w="60"/>
              <w:left w:type="dxa" w:w="100"/>
              <w:bottom w:type="dxa" w:w="60"/>
              <w:right w:type="dxa" w:w="100"/>
            </w:tcMar>
          </w:tcPr>
          <w:p>
            <w:pPr>
              <w:spacing w:after="0" w:before="0"/>
            </w:pPr>
            <w:r>
              <w:rPr>
                <w:b/>
                <w:bCs/>
                <w:i w:val="false"/>
                <w:iCs w:val="false"/>
              </w:rPr>
              <w:t xml:space="preserve">1.5.2.4.2</w:t>
            </w:r>
            <w:r>
              <w:rPr>
                <w:b w:val="false"/>
                <w:bCs w:val="false"/>
                <w:i w:val="false"/>
                <w:iCs w:val="false"/>
              </w:rPr>
              <w:t xml:space="preserve"> Envelope generation, card-to-envelope matching, dispatch confirmation, tracking numbers and delivery status transactions.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Envelope generation, card-to-envelope matching by card identifier, dispatch confirmation, tracking reference generation for every mail piece and batch, and event-driven delivery status updates are each recorded transactions. As no courier is designated (Responses to Queries 003), the tracking interface is ready to connect to a postal operator's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5.3, 5.4, 8.1, 8.3, 8.6 and 11.4</w:t>
            </w:r>
          </w:p>
        </w:tc>
      </w:tr>
      <w:tr>
        <w:tc>
          <w:tcPr>
            <w:tcW w:type="dxa" w:w="2000"/>
            <w:tcMar>
              <w:top w:type="dxa" w:w="60"/>
              <w:left w:type="dxa" w:w="100"/>
              <w:bottom w:type="dxa" w:w="60"/>
              <w:right w:type="dxa" w:w="100"/>
            </w:tcMar>
          </w:tcPr>
          <w:p>
            <w:pPr>
              <w:spacing w:after="0" w:before="0"/>
            </w:pPr>
            <w:r>
              <w:rPr>
                <w:b/>
                <w:bCs/>
                <w:i w:val="false"/>
                <w:iCs w:val="false"/>
              </w:rPr>
              <w:t xml:space="preserve">1.5.2.4.3</w:t>
            </w:r>
            <w:r>
              <w:rPr>
                <w:b w:val="false"/>
                <w:bCs w:val="false"/>
                <w:i w:val="false"/>
                <w:iCs w:val="false"/>
              </w:rPr>
              <w:t xml:space="preserve"> User creation, role assignment, configuration updates, audit queries, report requests and security event handling.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User creation and role assignment, configuration updates under change control, audit log queries, report generation requests and security event handling are each processed as transactions logged against the initiating identity, through the administration portal, the reporting service and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6.11, 6.12, 6.13, 10.7, 11.4 and 12.1</w:t>
            </w:r>
          </w:p>
        </w:tc>
      </w:tr>
      <w:tr>
        <w:tc>
          <w:tcPr>
            <w:tcW w:type="dxa" w:w="2000"/>
            <w:tcMar>
              <w:top w:type="dxa" w:w="60"/>
              <w:left w:type="dxa" w:w="100"/>
              <w:bottom w:type="dxa" w:w="60"/>
              <w:right w:type="dxa" w:w="100"/>
            </w:tcMar>
          </w:tcPr>
          <w:p>
            <w:pPr>
              <w:spacing w:after="0" w:before="0"/>
            </w:pPr>
            <w:r>
              <w:rPr>
                <w:b/>
                <w:bCs/>
                <w:i w:val="false"/>
                <w:iCs w:val="false"/>
              </w:rPr>
              <w:t xml:space="preserve">1.5.2.5.1</w:t>
            </w:r>
            <w:r>
              <w:rPr>
                <w:b w:val="false"/>
                <w:bCs w:val="false"/>
                <w:i w:val="false"/>
                <w:iCs w:val="false"/>
              </w:rPr>
              <w:t xml:space="preserve"> Support a minimum of 10 million to 50 million identity records.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platform is sized and licensed to operate at 10 to 50 million identity records, with not less than 20 terabytes usable. As recommended in Responses to Queries 003, it retains production and audit data of about 5 kilobytes per card, while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10.2 and 11.4</w:t>
            </w:r>
          </w:p>
        </w:tc>
      </w:tr>
      <w:tr>
        <w:tc>
          <w:tcPr>
            <w:tcW w:type="dxa" w:w="2000"/>
            <w:tcMar>
              <w:top w:type="dxa" w:w="60"/>
              <w:left w:type="dxa" w:w="100"/>
              <w:bottom w:type="dxa" w:w="60"/>
              <w:right w:type="dxa" w:w="100"/>
            </w:tcMar>
          </w:tcPr>
          <w:p>
            <w:pPr>
              <w:spacing w:after="0" w:before="0"/>
            </w:pPr>
            <w:r>
              <w:rPr>
                <w:b/>
                <w:bCs/>
                <w:i w:val="false"/>
                <w:iCs w:val="false"/>
              </w:rPr>
              <w:t xml:space="preserve">1.5.2.5.2</w:t>
            </w:r>
            <w:r>
              <w:rPr>
                <w:b w:val="false"/>
                <w:bCs w:val="false"/>
                <w:i w:val="false"/>
                <w:iCs w:val="false"/>
              </w:rPr>
              <w:t xml:space="preserve"> 1 to 10 million transactions monthly, 100,000 or more daily at peak, high-volume batch processing.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System processes 1 to 10 million transactions per month and 100,000 or more per day during issuance campaigns on an ACID-compliant clustered enterprise database, with throughput-bound batch preparation separated from latency-bound status exchange so that high-volume batch issuance jobs do not delay real-time traffic.</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7.6, 9.1, 11.4 and 11.5</w:t>
            </w:r>
          </w:p>
        </w:tc>
      </w:tr>
      <w:tr>
        <w:tc>
          <w:tcPr>
            <w:tcW w:type="dxa" w:w="2000"/>
            <w:tcMar>
              <w:top w:type="dxa" w:w="60"/>
              <w:left w:type="dxa" w:w="100"/>
              <w:bottom w:type="dxa" w:w="60"/>
              <w:right w:type="dxa" w:w="100"/>
            </w:tcMar>
          </w:tcPr>
          <w:p>
            <w:pPr>
              <w:spacing w:after="0" w:before="0"/>
            </w:pPr>
            <w:r>
              <w:rPr>
                <w:b/>
                <w:bCs/>
                <w:i w:val="false"/>
                <w:iCs w:val="false"/>
              </w:rPr>
              <w:t xml:space="preserve">1.5.2.5.3</w:t>
            </w:r>
            <w:r>
              <w:rPr>
                <w:b w:val="false"/>
                <w:bCs w:val="false"/>
                <w:i w:val="false"/>
                <w:iCs w:val="false"/>
              </w:rPr>
              <w:t xml:space="preserve"> 10 to 15 year retention, 15 percent annual growth, horizontal scalability without redesign.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Data is retained for 10 to 15 years, and 20 terabytes usable against about 5 terabytes derived absorbs several years of 15 percent annual growth. Growth is added horizontally through further application server instances, and through database processor, memory, storage and drive enclosures, without replacing the platform.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and 11.4</w:t>
            </w:r>
          </w:p>
        </w:tc>
      </w:tr>
      <w:tr>
        <w:tc>
          <w:tcPr>
            <w:tcW w:type="dxa" w:w="2000"/>
            <w:tcMar>
              <w:top w:type="dxa" w:w="60"/>
              <w:left w:type="dxa" w:w="100"/>
              <w:bottom w:type="dxa" w:w="60"/>
              <w:right w:type="dxa" w:w="100"/>
            </w:tcMar>
          </w:tcPr>
          <w:p>
            <w:pPr>
              <w:spacing w:after="0" w:before="0"/>
            </w:pPr>
            <w:r>
              <w:rPr>
                <w:b/>
                <w:bCs/>
                <w:i w:val="false"/>
                <w:iCs w:val="false"/>
              </w:rPr>
              <w:t xml:space="preserve">1.5.2.5.4</w:t>
            </w:r>
            <w:r>
              <w:rPr>
                <w:b w:val="false"/>
                <w:bCs w:val="false"/>
                <w:i w:val="false"/>
                <w:iCs w:val="false"/>
              </w:rPr>
              <w:t xml:space="preserve"> Audit log retention of 5 to 10 years, millions of daily entries, compression and archival.</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Audit and security logs are retained for ten years on write-once storage, millions of entries per day are stored and queryable, and logs are compressed and archived on a defined schedule while remaining searchable, with ten years of logs sized at about 4 terabytes within the platform storage.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10.6 and 11.4</w:t>
            </w:r>
          </w:p>
        </w:tc>
      </w:tr>
      <w:tr>
        <w:tc>
          <w:tcPr>
            <w:tcW w:type="dxa" w:w="2000"/>
            <w:tcMar>
              <w:top w:type="dxa" w:w="60"/>
              <w:left w:type="dxa" w:w="100"/>
              <w:bottom w:type="dxa" w:w="60"/>
              <w:right w:type="dxa" w:w="100"/>
            </w:tcMar>
          </w:tcPr>
          <w:p>
            <w:pPr>
              <w:spacing w:after="0" w:before="0"/>
            </w:pPr>
            <w:r>
              <w:rPr>
                <w:b/>
                <w:bCs/>
                <w:i w:val="false"/>
                <w:iCs w:val="false"/>
              </w:rPr>
              <w:t xml:space="preserve">1.5.2.6</w:t>
            </w:r>
            <w:r>
              <w:rPr>
                <w:b w:val="false"/>
                <w:bCs w:val="false"/>
                <w:i w:val="false"/>
                <w:iCs w:val="false"/>
              </w:rPr>
              <w:t xml:space="preserve"> Performance guaranteed under peak, mixed, concurrent, failover, disaster recovery and maintenance conditions.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Throughput and response targets hold at peak and mixed load, with batch and real-time work separated. On host loss the surviving clustered host carries full load, and paired components are maintained one at a time, outside the production window where possible. On failover to the secondary environment, data and application services continue within the recovery targets. [CONFIRM: On loss of the primary storage array or site, the secondary environment carries the data and application services only, and card production resumes when the primary platform is restored. Inkript to confirm this position is acceptable against 'failover and disaster recovery mode', or record it as a limitation.]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9.3 and 11.5; Change Management Plan Section 5.2</w:t>
            </w:r>
          </w:p>
        </w:tc>
      </w:tr>
      <w:tr>
        <w:tc>
          <w:tcPr>
            <w:tcW w:type="dxa" w:w="2000"/>
            <w:tcMar>
              <w:top w:type="dxa" w:w="60"/>
              <w:left w:type="dxa" w:w="100"/>
              <w:bottom w:type="dxa" w:w="60"/>
              <w:right w:type="dxa" w:w="100"/>
            </w:tcMar>
          </w:tcPr>
          <w:p>
            <w:pPr>
              <w:spacing w:after="0" w:before="0"/>
            </w:pPr>
            <w:r>
              <w:rPr>
                <w:b/>
                <w:bCs/>
                <w:i w:val="false"/>
                <w:iCs w:val="false"/>
              </w:rPr>
              <w:t xml:space="preserve">1.5.2.7</w:t>
            </w:r>
            <w:r>
              <w:rPr>
                <w:b w:val="false"/>
                <w:bCs w:val="false"/>
                <w:i w:val="false"/>
                <w:iCs w:val="false"/>
              </w:rPr>
              <w:t xml:space="preserve"> Real-time dashboards, SLA tools, throughput analytics, bottleneck detection, automated reports and trend analysis.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Monitoring, Reporting and Analytics provides real-time and historical performance dashboards, SLA monitoring of uptime, throughput and rejection rate, throughput analytics by line, bottleneck detection, automatically scheduled performance reports, and trend analysis with forecasting.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6.11, 11.6 and 12.2</w:t>
            </w:r>
          </w:p>
        </w:tc>
      </w:tr>
      <w:tr>
        <w:tc>
          <w:tcPr>
            <w:tcW w:type="dxa" w:w="2000"/>
            <w:tcMar>
              <w:top w:type="dxa" w:w="60"/>
              <w:left w:type="dxa" w:w="100"/>
              <w:bottom w:type="dxa" w:w="60"/>
              <w:right w:type="dxa" w:w="100"/>
            </w:tcMar>
          </w:tcPr>
          <w:p>
            <w:pPr>
              <w:spacing w:after="0" w:before="0"/>
            </w:pPr>
            <w:r>
              <w:rPr>
                <w:b/>
                <w:bCs/>
                <w:i w:val="false"/>
                <w:iCs w:val="false"/>
              </w:rPr>
              <w:t xml:space="preserve">1.5.2.8</w:t>
            </w:r>
            <w:r>
              <w:rPr>
                <w:b w:val="false"/>
                <w:bCs w:val="false"/>
                <w:i w:val="false"/>
                <w:iCs w:val="false"/>
              </w:rPr>
              <w:t xml:space="preserve"> Acceptance only after throughput, response time, concurrency, transaction integrity and sustained operation are verified.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Acceptance is conditional on throughput benchmarks at factory and site acceptance, load-tested response times, stress-tested concurrency, transaction integrity at peak and a sustained operation test. These are rehearsed in performance testing and pre-commissioning test 16, and confirmed in operational acceptance tests 2 to 4 of Table B as amended by Addendum No. 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11.6; Preliminary Project Plan Sections 4.3, 4.4, 4.5 and 4.6</w:t>
            </w:r>
          </w:p>
        </w:tc>
      </w:tr>
    </w:tbl>
    <w:p>
      <w:pPr>
        <w:spacing w:after="140"/>
      </w:pPr>
    </w:p>
    <w:p>
      <w:pPr>
        <w:pStyle w:val="Heading2"/>
        <w:numPr>
          <w:ilvl w:val="1"/>
          <w:numId w:val="2"/>
        </w:numPr>
        <w:spacing w:after="140" w:before="260"/>
      </w:pPr>
      <w:r>
        <w:t xml:space="preserve">C</w:t>
      </w:r>
      <w:bookmarkStart w:name="sec_1_6" w:id="1"/>
      <w:r>
        <w:rPr>
          <w:b w:val="false"/>
          <w:bCs w:val="false"/>
          <w:i w:val="false"/>
          <w:iCs w:val="false"/>
        </w:rPr>
        <w:t xml:space="preserve">yber security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1.6.1</w:t>
            </w:r>
            <w:r>
              <w:rPr>
                <w:b w:val="false"/>
                <w:bCs w:val="false"/>
                <w:i w:val="false"/>
                <w:iCs w:val="false"/>
              </w:rPr>
              <w:t xml:space="preserve"> Design, implement and maintain multi-layered security ensuring confidentiality, integrity, availability and traceability.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layered architecture applies zero trust, least privilege, segmentation, defense in depth and traceability, protecting transport, message, identity and storage independently and attributing every action to an identity and a time. It is mapped to NIST CSF 2.0 and maintained through warranty with monthly patching and scanning and annual penetration testing.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10.1 and 10.8; Cybersecurity Risk Management Plan Sections 3.1 and 6.3</w:t>
            </w:r>
          </w:p>
        </w:tc>
      </w:tr>
      <w:tr>
        <w:tc>
          <w:tcPr>
            <w:tcW w:type="dxa" w:w="2000"/>
            <w:tcMar>
              <w:top w:type="dxa" w:w="60"/>
              <w:left w:type="dxa" w:w="100"/>
              <w:bottom w:type="dxa" w:w="60"/>
              <w:right w:type="dxa" w:w="100"/>
            </w:tcMar>
          </w:tcPr>
          <w:p>
            <w:pPr>
              <w:spacing w:after="0" w:before="0"/>
            </w:pPr>
            <w:r>
              <w:rPr>
                <w:b/>
                <w:bCs/>
                <w:i w:val="false"/>
                <w:iCs w:val="false"/>
              </w:rPr>
              <w:t xml:space="preserve">1.6.2.1</w:t>
            </w:r>
            <w:r>
              <w:rPr>
                <w:b w:val="false"/>
                <w:bCs w:val="false"/>
                <w:i w:val="false"/>
                <w:iCs w:val="false"/>
              </w:rPr>
              <w:t xml:space="preserve"> Encryption, zero trust, RBAC, segmented zones, secure APIs, HSMs, key lifecycle, MFA, tamper-proof audit.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AES-256 at rest and TLS 1.2 or higher in transit apply under zero-trust, role-based least privilege. Production, management and security, and DMZ zones are firewall-segmented, every API call is authenticated and authorized, FIPS-validated HSMs hold the signing key under defined generation, storage, rotation and revocation, MFA protects privileged access, and audit records are write-once.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9.2, 10.1, 10.2, 10.3, 10.4, 10.5 and 10.6</w:t>
            </w:r>
          </w:p>
        </w:tc>
      </w:tr>
      <w:tr>
        <w:tc>
          <w:tcPr>
            <w:tcW w:type="dxa" w:w="2000"/>
            <w:tcMar>
              <w:top w:type="dxa" w:w="60"/>
              <w:left w:type="dxa" w:w="100"/>
              <w:bottom w:type="dxa" w:w="60"/>
              <w:right w:type="dxa" w:w="100"/>
            </w:tcMar>
          </w:tcPr>
          <w:p>
            <w:pPr>
              <w:spacing w:after="0" w:before="0"/>
            </w:pPr>
            <w:r>
              <w:rPr>
                <w:b/>
                <w:bCs/>
                <w:i w:val="false"/>
                <w:iCs w:val="false"/>
              </w:rPr>
              <w:t xml:space="preserve">1.6.3</w:t>
            </w:r>
            <w:r>
              <w:rPr>
                <w:b w:val="false"/>
                <w:bCs w:val="false"/>
                <w:i w:val="false"/>
                <w:iCs w:val="false"/>
              </w:rPr>
              <w:t xml:space="preserve"> Encrypt PII with AES-256 at rest and TLS 1.2 or higher, masking, deletion, retention enforcement.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personally identifiable information is encrypted with AES-256 at rest, including the database, its secondary copy and backups, and with TLS 1.2 or higher on every interface. Personal data is masked in development, training and user acceptance testing, media and expired records are sanitized under defined procedures, and the platform enforces retention and archival.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10.2 and 11.4</w:t>
            </w:r>
          </w:p>
        </w:tc>
      </w:tr>
      <w:tr>
        <w:tc>
          <w:tcPr>
            <w:tcW w:type="dxa" w:w="2000"/>
            <w:tcMar>
              <w:top w:type="dxa" w:w="60"/>
              <w:left w:type="dxa" w:w="100"/>
              <w:bottom w:type="dxa" w:w="60"/>
              <w:right w:type="dxa" w:w="100"/>
            </w:tcMar>
          </w:tcPr>
          <w:p>
            <w:pPr>
              <w:spacing w:after="0" w:before="0"/>
            </w:pPr>
            <w:r>
              <w:rPr>
                <w:b/>
                <w:bCs/>
                <w:i w:val="false"/>
                <w:iCs w:val="false"/>
              </w:rPr>
              <w:t xml:space="preserve">1.6.4</w:t>
            </w:r>
            <w:r>
              <w:rPr>
                <w:b w:val="false"/>
                <w:bCs w:val="false"/>
                <w:i w:val="false"/>
                <w:iCs w:val="false"/>
              </w:rPr>
              <w:t xml:space="preserve"> Centralized IAM with MFA, PAM, just-in-time access, access logging and periodic recertification.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dedicated directory on three domain controllers, two at the primary site and one at the secondary site, with single sign-on, gives each user one identity. MFA applies to administrators and operators, privileged credentials are issued per session and purpose, elevated access is time-bound and withdrawn automatically, every authentication and privileged action is logged, and access is periodically recertified. [CONFIRM: Responses to Queries 003 says NRB will provide its existing Active Directory for integration, while Clarifications to Queries 005 requires a net-new, self-contained solution using no existing NRB resources. The proposal supplies its own directory. Inkript to confirm whether any trust or synchronization with NRB's Active Directory is expected.]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6.12, 9.1 and 10.3</w:t>
            </w:r>
          </w:p>
        </w:tc>
      </w:tr>
      <w:tr>
        <w:tc>
          <w:tcPr>
            <w:tcW w:type="dxa" w:w="2000"/>
            <w:tcMar>
              <w:top w:type="dxa" w:w="60"/>
              <w:left w:type="dxa" w:w="100"/>
              <w:bottom w:type="dxa" w:w="60"/>
              <w:right w:type="dxa" w:w="100"/>
            </w:tcMar>
          </w:tcPr>
          <w:p>
            <w:pPr>
              <w:spacing w:after="0" w:before="0"/>
            </w:pPr>
            <w:r>
              <w:rPr>
                <w:b/>
                <w:bCs/>
                <w:i w:val="false"/>
                <w:iCs w:val="false"/>
              </w:rPr>
              <w:t xml:space="preserve">1.6.5</w:t>
            </w:r>
            <w:r>
              <w:rPr>
                <w:b w:val="false"/>
                <w:bCs w:val="false"/>
                <w:i w:val="false"/>
                <w:iCs w:val="false"/>
              </w:rPr>
              <w:t xml:space="preserve"> Secure development lifecycle, OWASP Top 10, code review, SAST and DAST, API security, patching.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Software is built under a secure development lifecycle with threat modeling, OWASP Top 10 coding and assessment, second-engineer code review, SAST on every build, DAST before promotion and a release gate. APIs enforce authentication, per-caller rate limiting and TLS, vulnerability scanning runs monthly, and patches are verified outside production first.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10.5; Cybersecurity Risk Management Plan Sections 6.2 and 6.3</w:t>
            </w:r>
          </w:p>
        </w:tc>
      </w:tr>
      <w:tr>
        <w:tc>
          <w:tcPr>
            <w:tcW w:type="dxa" w:w="2000"/>
            <w:tcMar>
              <w:top w:type="dxa" w:w="60"/>
              <w:left w:type="dxa" w:w="100"/>
              <w:bottom w:type="dxa" w:w="60"/>
              <w:right w:type="dxa" w:w="100"/>
            </w:tcMar>
          </w:tcPr>
          <w:p>
            <w:pPr>
              <w:spacing w:after="0" w:before="0"/>
            </w:pPr>
            <w:r>
              <w:rPr>
                <w:b/>
                <w:bCs/>
                <w:i w:val="false"/>
                <w:iCs w:val="false"/>
              </w:rPr>
              <w:t xml:space="preserve">1.6.6</w:t>
            </w:r>
            <w:r>
              <w:rPr>
                <w:b w:val="false"/>
                <w:bCs w:val="false"/>
                <w:i w:val="false"/>
                <w:iCs w:val="false"/>
              </w:rPr>
              <w:t xml:space="preserve"> CIS-hardened systems, EDR, anti-malware and IPS, segmentation with next generation firewalls, baselines, SIEM.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Operating systems follow CIS-based hardened baselines with automated drift detection, EDR detects and contains malware on every server, virtual machine and workstation, next generation firewalls with intrusion prevention enforce zone segmentation at both sites, and SIEM monitors all sources continuously. This meets the 'preferred' firewall option, which Clarifications to Queries 005 treats as a strict baseline.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9.2, 9.4, 10.7, 10.8 and 12.1; Cybersecurity Risk Management Plan Section 3.2</w:t>
            </w:r>
          </w:p>
        </w:tc>
      </w:tr>
      <w:tr>
        <w:tc>
          <w:tcPr>
            <w:tcW w:type="dxa" w:w="2000"/>
            <w:tcMar>
              <w:top w:type="dxa" w:w="60"/>
              <w:left w:type="dxa" w:w="100"/>
              <w:bottom w:type="dxa" w:w="60"/>
              <w:right w:type="dxa" w:w="100"/>
            </w:tcMar>
          </w:tcPr>
          <w:p>
            <w:pPr>
              <w:spacing w:after="0" w:before="0"/>
            </w:pPr>
            <w:r>
              <w:rPr>
                <w:b/>
                <w:bCs/>
                <w:i w:val="false"/>
                <w:iCs w:val="false"/>
              </w:rPr>
              <w:t xml:space="preserve">1.6.7</w:t>
            </w:r>
            <w:r>
              <w:rPr>
                <w:b w:val="false"/>
                <w:bCs w:val="false"/>
                <w:i w:val="false"/>
                <w:iCs w:val="false"/>
              </w:rPr>
              <w:t xml:space="preserve"> Biometric access, CCTV with retention, secure zones, environmental alerts, visitor logging and escort.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the facility works, biometric access control logs every entry to the server room and production area, CCTV runs with defined retention, and separate secure areas hold blank cards, personalization equipment, data processing systems and destruction. Environmental, access and intrusion events feed monitoring and SIEM alerting, and escorted visitor entries are logged.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9.2, 9.5 and 10.7</w:t>
            </w:r>
          </w:p>
        </w:tc>
      </w:tr>
      <w:tr>
        <w:tc>
          <w:tcPr>
            <w:tcW w:type="dxa" w:w="2000"/>
            <w:tcMar>
              <w:top w:type="dxa" w:w="60"/>
              <w:left w:type="dxa" w:w="100"/>
              <w:bottom w:type="dxa" w:w="60"/>
              <w:right w:type="dxa" w:w="100"/>
            </w:tcMar>
          </w:tcPr>
          <w:p>
            <w:pPr>
              <w:spacing w:after="0" w:before="0"/>
            </w:pPr>
            <w:r>
              <w:rPr>
                <w:b/>
                <w:bCs/>
                <w:i w:val="false"/>
                <w:iCs w:val="false"/>
              </w:rPr>
              <w:t xml:space="preserve">1.6.8</w:t>
            </w:r>
            <w:r>
              <w:rPr>
                <w:b w:val="false"/>
                <w:bCs w:val="false"/>
                <w:i w:val="false"/>
                <w:iCs w:val="false"/>
              </w:rPr>
              <w:t xml:space="preserve"> SOC capability, 24/7 monitoring, SIEM, incident response plan, escalation matrix, forensics, reporting timelines.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 Clarifications to Queries 005, Inkript establishes a Security Operations Center, integrated with NRB's SOC and handed over to NRB. SIEM and behavior analytics run 24/7, the Incident Response Plan sets classes S1 to S4 and an escalation matrix, evidence is preserved with chain of custody, and S1 to S3 incidents are reported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10.7; Cybersecurity Risk Management Plan Sections 7.1, 7.2, 7.4 and 9.4</w:t>
            </w:r>
          </w:p>
        </w:tc>
      </w:tr>
      <w:tr>
        <w:tc>
          <w:tcPr>
            <w:tcW w:type="dxa" w:w="2000"/>
            <w:tcMar>
              <w:top w:type="dxa" w:w="60"/>
              <w:left w:type="dxa" w:w="100"/>
              <w:bottom w:type="dxa" w:w="60"/>
              <w:right w:type="dxa" w:w="100"/>
            </w:tcMar>
          </w:tcPr>
          <w:p>
            <w:pPr>
              <w:spacing w:after="0" w:before="0"/>
            </w:pPr>
            <w:r>
              <w:rPr>
                <w:b/>
                <w:bCs/>
                <w:i w:val="false"/>
                <w:iCs w:val="false"/>
              </w:rPr>
              <w:t xml:space="preserve">1.6.9</w:t>
            </w:r>
            <w:r>
              <w:rPr>
                <w:b w:val="false"/>
                <w:bCs w:val="false"/>
                <w:i w:val="false"/>
                <w:iCs w:val="false"/>
              </w:rPr>
              <w:t xml:space="preserve"> Independent penetration testing before go-live and annually, quarterly vulnerability assessments, remediation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An independent third party, CREST-accredited or equivalent, penetration-tests the full deployed configuration, including the Machine Control Zone, before go-live and annually thereafter. Vulnerability assessment runs at least quarterly, and findings are risk rated, remediated within defined times, retested and reported monthly. [CONFIRM: The independent penetration testing firm is not yet named. Inkript to select it and confirm that the annual tests are priced for the full period in which they are offered.]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6.2, 6.3 and 9.3; System Architecture Section 10.5; Preliminary Project Plan Section 4.4</w:t>
            </w:r>
          </w:p>
        </w:tc>
      </w:tr>
      <w:tr>
        <w:tc>
          <w:tcPr>
            <w:tcW w:type="dxa" w:w="2000"/>
            <w:tcMar>
              <w:top w:type="dxa" w:w="60"/>
              <w:left w:type="dxa" w:w="100"/>
              <w:bottom w:type="dxa" w:w="60"/>
              <w:right w:type="dxa" w:w="100"/>
            </w:tcMar>
          </w:tcPr>
          <w:p>
            <w:pPr>
              <w:spacing w:after="0" w:before="0"/>
            </w:pPr>
            <w:r>
              <w:rPr>
                <w:b/>
                <w:bCs/>
                <w:i w:val="false"/>
                <w:iCs w:val="false"/>
              </w:rPr>
              <w:t xml:space="preserve">1.6.10</w:t>
            </w:r>
            <w:r>
              <w:rPr>
                <w:b w:val="false"/>
                <w:bCs w:val="false"/>
                <w:i w:val="false"/>
                <w:iCs w:val="false"/>
              </w:rPr>
              <w:t xml:space="preserve"> Encrypted, offsite and immutable backups, DR failover, annual DR testing, ransomware recovery strategy.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Encrypted backups are held in a backup repository and on not less than 40 TB of immutable storage at each site, with the offsite copy at the Purchaser's disaster recovery data center, and the warm standby provides failover within the recovery targets. DR is tested at least annually, and ransomware recovery uses separately credentialed immutable copies, clean-copy restoration on an isolated segment and credential replacement.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9.3 and 12.3; Cybersecurity Risk Management Plan Sections 8.1 and 8.2</w:t>
            </w:r>
          </w:p>
        </w:tc>
      </w:tr>
      <w:tr>
        <w:tc>
          <w:tcPr>
            <w:tcW w:type="dxa" w:w="2000"/>
            <w:tcMar>
              <w:top w:type="dxa" w:w="60"/>
              <w:left w:type="dxa" w:w="100"/>
              <w:bottom w:type="dxa" w:w="60"/>
              <w:right w:type="dxa" w:w="100"/>
            </w:tcMar>
          </w:tcPr>
          <w:p>
            <w:pPr>
              <w:spacing w:after="0" w:before="0"/>
            </w:pPr>
            <w:r>
              <w:rPr>
                <w:b/>
                <w:bCs/>
                <w:i w:val="false"/>
                <w:iCs w:val="false"/>
              </w:rPr>
              <w:t xml:space="preserve">1.6.11.1</w:t>
            </w:r>
            <w:r>
              <w:rPr>
                <w:b w:val="false"/>
                <w:bCs w:val="false"/>
                <w:i w:val="false"/>
                <w:iCs w:val="false"/>
              </w:rPr>
              <w:t xml:space="preserve"> Bidder and key personnel demonstrate compliance with internationally recognized cybersecurity standards.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Inkript's information security management system is certified to ISO/IEC 27001, and, as Responses to Queries 003 requires, each team member holds the certifications for the role, including CISSP, CISM and CEH for the Cybersecurity and PKI Specialist, CCNA and CCNP for the Network Engineer, and CREST or equivalent accreditation for the independent penetration tester. [CONFIRM: The certifications are stated for the roles. Inkript to confirm that the named candidates' CVs and certificate copies carry them before submission.]</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1.2, 9.3 and 11.3; Attachment: Inkript ISO/IEC 27001 certificate; Attachment: Key personnel Candidate Summaries and CVs</w:t>
            </w:r>
          </w:p>
        </w:tc>
      </w:tr>
      <w:tr>
        <w:tc>
          <w:tcPr>
            <w:tcW w:type="dxa" w:w="2000"/>
            <w:tcMar>
              <w:top w:type="dxa" w:w="60"/>
              <w:left w:type="dxa" w:w="100"/>
              <w:bottom w:type="dxa" w:w="60"/>
              <w:right w:type="dxa" w:w="100"/>
            </w:tcMar>
          </w:tcPr>
          <w:p>
            <w:pPr>
              <w:spacing w:after="0" w:before="0"/>
            </w:pPr>
            <w:r>
              <w:rPr>
                <w:b/>
                <w:bCs/>
                <w:i w:val="false"/>
                <w:iCs w:val="false"/>
              </w:rPr>
              <w:t xml:space="preserve">1.6.11.2</w:t>
            </w:r>
            <w:r>
              <w:rPr>
                <w:b w:val="false"/>
                <w:bCs w:val="false"/>
                <w:i w:val="false"/>
                <w:iCs w:val="false"/>
              </w:rPr>
              <w:t xml:space="preserve"> ISO/IEC 27001 certification mandatory; ISO 9001 and ISO/IEC 20000-1 preferred.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Inkript's information security management system is certified to ISO/IEC 27001, the mandatory certification, maintained throughout the Contract, with the certificate copy attached. The card manufacturer's ISO 9001 certificate is attached, and technical change control is structured on ITIL 4 change enablement and ISO/IEC 20000-1 change management. [GAP: No document states whether Inkript holds ISO 9001 or ISO/IEC 20000-1 (Cybersecurity Risk Management Plan Section 11.2 is marked [Inkript to confirm]). Clarifications to Queries 005, answering a question that cited this clause, says all minimum specifications are strict, non-negotiable baselines, so the 'preferred' certifications may be evaluated as required. Responses to Queries 003 lets team members or partners hold certifications for their roles, so the card manufacturer's ISO 9001 certificate (register item 2.3) helps, but no ISO/IEC 20000-1 holder is identified. Attach Inkript's or a partner's certificates if held.]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1.2, 11.1 and 11.3; Change Management Plan Section 1.2; Attachment: Inkript ISO/IEC 27001 certificate; Attachment: Card manufacturer ISO 9001 certificate</w:t>
            </w:r>
          </w:p>
        </w:tc>
      </w:tr>
      <w:tr>
        <w:tc>
          <w:tcPr>
            <w:tcW w:type="dxa" w:w="2000"/>
            <w:tcMar>
              <w:top w:type="dxa" w:w="60"/>
              <w:left w:type="dxa" w:w="100"/>
              <w:bottom w:type="dxa" w:w="60"/>
              <w:right w:type="dxa" w:w="100"/>
            </w:tcMar>
          </w:tcPr>
          <w:p>
            <w:pPr>
              <w:spacing w:after="0" w:before="0"/>
            </w:pPr>
            <w:r>
              <w:rPr>
                <w:b/>
                <w:bCs/>
                <w:i w:val="false"/>
                <w:iCs w:val="false"/>
              </w:rPr>
              <w:t xml:space="preserve">1.6.11.3</w:t>
            </w:r>
            <w:r>
              <w:rPr>
                <w:b w:val="false"/>
                <w:bCs w:val="false"/>
                <w:i w:val="false"/>
                <w:iCs w:val="false"/>
              </w:rPr>
              <w:t xml:space="preserve"> Comply with NIST CSF, CIS Controls, ISO/IEC 27002 and OWASP application security guidelines.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architecture and the Cybersecurity Risk Management Plan are mapped to all six functions and 22 categories of NIST CSF 2.0 with ISO/IEC 27001 Annex A controls, implemented through ISO/IEC 27002 guidance. Configuration baselines and hardening follow CIS Controls, and secure development and testing follow OWASP.</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1.2 and 3.2; System Architecture Sections 10.5 and 10.8</w:t>
            </w:r>
          </w:p>
        </w:tc>
      </w:tr>
      <w:tr>
        <w:tc>
          <w:tcPr>
            <w:tcW w:type="dxa" w:w="2000"/>
            <w:tcMar>
              <w:top w:type="dxa" w:w="60"/>
              <w:left w:type="dxa" w:w="100"/>
              <w:bottom w:type="dxa" w:w="60"/>
              <w:right w:type="dxa" w:w="100"/>
            </w:tcMar>
          </w:tcPr>
          <w:p>
            <w:pPr>
              <w:spacing w:after="0" w:before="0"/>
            </w:pPr>
            <w:r>
              <w:rPr>
                <w:b/>
                <w:bCs/>
                <w:i w:val="false"/>
                <w:iCs w:val="false"/>
              </w:rPr>
              <w:t xml:space="preserve">1.6.11.4</w:t>
            </w:r>
            <w:r>
              <w:rPr>
                <w:b w:val="false"/>
                <w:bCs w:val="false"/>
                <w:i w:val="false"/>
                <w:iCs w:val="false"/>
              </w:rPr>
              <w:t xml:space="preserve"> FIPS 140-2 or 140-3 validated HSMs, X.509 PKI compliance and eIDAS-aligned digital signatures.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two supplied HSMs are FIPS 140-2 or FIPS 140-3 validated, and the Document Signer and interface certificates conform to X.509 and are issued by the e-Government PKI, as clarified in Responses to Queries 04 and Clarifications to Queries 005. Signature formats align with eIDAS digital signature standards. [CONFIRM: The HSM model is not named in any document, and its FIPS 140 validation certificate, which Cybersecurity Risk Management Plan Section 11.3 says is attached, is not in the tender document register. Inkript to select the model and attach the certificate.]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9.4, 10.4 and 13.1; Cybersecurity Risk Management Plan Section 11.3</w:t>
            </w:r>
          </w:p>
        </w:tc>
      </w:tr>
      <w:tr>
        <w:tc>
          <w:tcPr>
            <w:tcW w:type="dxa" w:w="2000"/>
            <w:tcMar>
              <w:top w:type="dxa" w:w="60"/>
              <w:left w:type="dxa" w:w="100"/>
              <w:bottom w:type="dxa" w:w="60"/>
              <w:right w:type="dxa" w:w="100"/>
            </w:tcMar>
          </w:tcPr>
          <w:p>
            <w:pPr>
              <w:spacing w:after="0" w:before="0"/>
            </w:pPr>
            <w:r>
              <w:rPr>
                <w:b/>
                <w:bCs/>
                <w:i w:val="false"/>
                <w:iCs w:val="false"/>
              </w:rPr>
              <w:t xml:space="preserve">1.6.11.5</w:t>
            </w:r>
            <w:r>
              <w:rPr>
                <w:b w:val="false"/>
                <w:bCs w:val="false"/>
                <w:i w:val="false"/>
                <w:iCs w:val="false"/>
              </w:rPr>
              <w:t xml:space="preserve"> Comply with Malawi data, communications, registration and cyber laws, the environmental plan, GDPR principles and privacy assessments.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commits to the Data Protection Act 2024, Communications Act 2016, National Registration Act 2015, Electronic Transactions and Cybersecurity Act 2016, National Digitalization Policy, Project Environmental and Social Management Plan and GDPR principles. The System retains only production and audit data, requests only the elements card production needs, keeps citizen data in Malawi, and evidences Privacy Impact Assessments.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10.2 and 10.8; Cybersecurity Risk Management Plan Section 11.1</w:t>
            </w:r>
          </w:p>
        </w:tc>
      </w:tr>
    </w:tbl>
    <w:p>
      <w:pPr>
        <w:spacing w:after="140"/>
      </w:pPr>
    </w:p>
    <w:p>
      <w:r>
        <w:br w:type="page"/>
      </w:r>
    </w:p>
    <w:p>
      <w:r>
        <w:br w:type="page"/>
      </w:r>
    </w:p>
    <w:p>
      <w:pPr>
        <w:pStyle w:val="Heading1"/>
        <w:numPr>
          <w:ilvl w:val="0"/>
          <w:numId w:val="2"/>
        </w:numPr>
        <w:spacing w:after="140" w:before="240"/>
      </w:pPr>
      <w:r>
        <w:t xml:space="preserve">S</w:t>
      </w:r>
      <w:bookmarkStart w:name="sec_2" w:id="1"/>
      <w:r>
        <w:rPr>
          <w:b w:val="false"/>
          <w:bCs w:val="false"/>
          <w:i w:val="false"/>
          <w:iCs w:val="false"/>
        </w:rPr>
        <w:t xml:space="preserve">ervice Specifications, Supply and Install Items</w:t>
      </w:r>
      <w:bookmarkEnd w:id="1"/>
    </w:p>
    <w:p>
      <w:pPr>
        <w:pStyle w:val="Heading2"/>
        <w:numPr>
          <w:ilvl w:val="1"/>
          <w:numId w:val="2"/>
        </w:numPr>
        <w:spacing w:after="140" w:before="260"/>
      </w:pPr>
      <w:r>
        <w:t xml:space="preserve">S</w:t>
      </w:r>
      <w:bookmarkStart w:name="sec_2_1" w:id="1"/>
      <w:r>
        <w:rPr>
          <w:b w:val="false"/>
          <w:bCs w:val="false"/>
          <w:i w:val="false"/>
          <w:iCs w:val="false"/>
        </w:rPr>
        <w:t xml:space="preserve">ystem integration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2.1.1</w:t>
            </w:r>
            <w:r>
              <w:rPr>
                <w:b w:val="false"/>
                <w:bCs w:val="false"/>
                <w:i w:val="false"/>
                <w:iCs w:val="false"/>
              </w:rPr>
              <w:t xml:space="preserve"> End-to-end integration services for seamless data exchange between NRIS and the Personalization and Mailing System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single integration gateway, held by the Data Preparation Service, carries every exchange with NRIS: production requests, secure demographic and biometric transfer, personalization and issuance, quality and production monitoring, mail processing and dispatch, status tracking and reporting, reprint and replacement, and audit and traceability. Inkript accepts single-point responsibility for the integration.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1.2, 6.4 and 7.1</w:t>
            </w:r>
          </w:p>
        </w:tc>
      </w:tr>
      <w:tr>
        <w:tc>
          <w:tcPr>
            <w:tcW w:type="dxa" w:w="2000"/>
            <w:tcMar>
              <w:top w:type="dxa" w:w="60"/>
              <w:left w:type="dxa" w:w="100"/>
              <w:bottom w:type="dxa" w:w="60"/>
              <w:right w:type="dxa" w:w="100"/>
            </w:tcMar>
          </w:tcPr>
          <w:p>
            <w:pPr>
              <w:spacing w:after="0" w:before="0"/>
            </w:pPr>
            <w:r>
              <w:rPr>
                <w:b/>
                <w:bCs/>
                <w:i w:val="false"/>
                <w:iCs w:val="false"/>
              </w:rPr>
              <w:t xml:space="preserve">2.1.3.1.1</w:t>
            </w:r>
            <w:r>
              <w:rPr>
                <w:b w:val="false"/>
                <w:bCs w:val="false"/>
                <w:i w:val="false"/>
                <w:iCs w:val="false"/>
              </w:rPr>
              <w:t xml:space="preserve"> Design, develop, test and deploy NRIS interfaces supporting REST, SOAP, file transfer, queues and database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designs each interface in an Interface Control Document and develops, tests and deploys its production side over REST APIs, SOAP web services, secure file transfer, message queues and middleware, or database integration. As clarified in the Responses to Queries 003 and Clarifications to Queries 005, NRB developers build the NRIS side and the Purchaser provides its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 7.2 and 13.1; Preliminary Project Plan Section 2.5</w:t>
            </w:r>
          </w:p>
        </w:tc>
      </w:tr>
      <w:tr>
        <w:tc>
          <w:tcPr>
            <w:tcW w:type="dxa" w:w="2000"/>
            <w:tcMar>
              <w:top w:type="dxa" w:w="60"/>
              <w:left w:type="dxa" w:w="100"/>
              <w:bottom w:type="dxa" w:w="60"/>
              <w:right w:type="dxa" w:w="100"/>
            </w:tcMar>
          </w:tcPr>
          <w:p>
            <w:pPr>
              <w:spacing w:after="0" w:before="0"/>
            </w:pPr>
            <w:r>
              <w:rPr>
                <w:b/>
                <w:bCs/>
                <w:i w:val="false"/>
                <w:iCs w:val="false"/>
              </w:rPr>
              <w:t xml:space="preserve">2.1.3.2.1</w:t>
            </w:r>
            <w:r>
              <w:rPr>
                <w:b w:val="false"/>
                <w:bCs w:val="false"/>
                <w:i w:val="false"/>
                <w:iCs w:val="false"/>
              </w:rPr>
              <w:t xml:space="preserve"> Analyze NRIS data structures, map fields, develop transformation rules, implement validation and cleansing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NRIS data is analyzed in discovery by data dictionary review and profiling of NRIS test data. Each field is mapped in the Data Mapping and Transformation Document, transformation rules for dates, names, images and addresses are applied in one place, and every record is validated before queuing, with failures held and reported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7.3; Preliminary Project Plan Section 2.3</w:t>
            </w:r>
          </w:p>
        </w:tc>
      </w:tr>
      <w:tr>
        <w:tc>
          <w:tcPr>
            <w:tcW w:type="dxa" w:w="2000"/>
            <w:tcMar>
              <w:top w:type="dxa" w:w="60"/>
              <w:left w:type="dxa" w:w="100"/>
              <w:bottom w:type="dxa" w:w="60"/>
              <w:right w:type="dxa" w:w="100"/>
            </w:tcMar>
          </w:tcPr>
          <w:p>
            <w:pPr>
              <w:spacing w:after="0" w:before="0"/>
            </w:pPr>
            <w:r>
              <w:rPr>
                <w:b/>
                <w:bCs/>
                <w:i w:val="false"/>
                <w:iCs w:val="false"/>
              </w:rPr>
              <w:t xml:space="preserve">2.1.3.2.2</w:t>
            </w:r>
            <w:r>
              <w:rPr>
                <w:b w:val="false"/>
                <w:bCs w:val="false"/>
                <w:i w:val="false"/>
                <w:iCs w:val="false"/>
              </w:rPr>
              <w:t xml:space="preserve"> Exchanged data elements: listed demographic, biometric and card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field-level mapping carries demographic data (National ID Number, names, date of birth, gender, nationality, address, district, Traditional Authority and card serial number, which the System returns to NRIS), biometric data (facial image, fingerprint references, signature image) and card data (issue date, expiry date, type and status).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7.3</w:t>
            </w:r>
          </w:p>
        </w:tc>
      </w:tr>
      <w:tr>
        <w:tc>
          <w:tcPr>
            <w:tcW w:type="dxa" w:w="2000"/>
            <w:tcMar>
              <w:top w:type="dxa" w:w="60"/>
              <w:left w:type="dxa" w:w="100"/>
              <w:bottom w:type="dxa" w:w="60"/>
              <w:right w:type="dxa" w:w="100"/>
            </w:tcMar>
          </w:tcPr>
          <w:p>
            <w:pPr>
              <w:spacing w:after="0" w:before="0"/>
            </w:pPr>
            <w:r>
              <w:rPr>
                <w:b/>
                <w:bCs/>
                <w:i w:val="false"/>
                <w:iCs w:val="false"/>
              </w:rPr>
              <w:t xml:space="preserve">2.1.3.3.1</w:t>
            </w:r>
            <w:r>
              <w:rPr>
                <w:b w:val="false"/>
                <w:bCs w:val="false"/>
                <w:i w:val="false"/>
                <w:iCs w:val="false"/>
              </w:rPr>
              <w:t xml:space="preserve"> Secure exchange: end-to-end encryption, TLS, certificates, PKI authentication, integrity validation, key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exchanges run over TLS 1.2 or higher, personal and biometric payloads are encrypted end to end, both systems authenticate each other by PKI certificates rather than shared secrets, every exchange carries an integrity check, and interface keys are held in protected storage with controlled access and scheduled rotation.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7.4, 10.5 and 13.1</w:t>
            </w:r>
          </w:p>
        </w:tc>
      </w:tr>
      <w:tr>
        <w:tc>
          <w:tcPr>
            <w:tcW w:type="dxa" w:w="2000"/>
            <w:tcMar>
              <w:top w:type="dxa" w:w="60"/>
              <w:left w:type="dxa" w:w="100"/>
              <w:bottom w:type="dxa" w:w="60"/>
              <w:right w:type="dxa" w:w="100"/>
            </w:tcMar>
          </w:tcPr>
          <w:p>
            <w:pPr>
              <w:spacing w:after="0" w:before="0"/>
            </w:pPr>
            <w:r>
              <w:rPr>
                <w:b/>
                <w:bCs/>
                <w:i w:val="false"/>
                <w:iCs w:val="false"/>
              </w:rPr>
              <w:t xml:space="preserve">2.1.3.4.1</w:t>
            </w:r>
            <w:r>
              <w:rPr>
                <w:b w:val="false"/>
                <w:bCs w:val="false"/>
                <w:i w:val="false"/>
                <w:iCs w:val="false"/>
              </w:rPr>
              <w:t xml:space="preserve"> Configure middleware, orchestration workflows, message routing, exception handling and retry mechanisms where required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Middleware is configured where an exchange needs routing, translation or decoupling. Orchestration workflows sequence multi-step exchanges, messages are routed by content and type, failed exchanges are held and raised rather than discarded, and retries run on a defined schedule with a limit, after which the exchange becomes a recorded exception.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7.2 and 7.12</w:t>
            </w:r>
          </w:p>
        </w:tc>
      </w:tr>
      <w:tr>
        <w:tc>
          <w:tcPr>
            <w:tcW w:type="dxa" w:w="2000"/>
            <w:tcMar>
              <w:top w:type="dxa" w:w="60"/>
              <w:left w:type="dxa" w:w="100"/>
              <w:bottom w:type="dxa" w:w="60"/>
              <w:right w:type="dxa" w:w="100"/>
            </w:tcMar>
          </w:tcPr>
          <w:p>
            <w:pPr>
              <w:spacing w:after="0" w:before="0"/>
            </w:pPr>
            <w:r>
              <w:rPr>
                <w:b/>
                <w:bCs/>
                <w:i w:val="false"/>
                <w:iCs w:val="false"/>
              </w:rPr>
              <w:t xml:space="preserve">2.1.3.5.1</w:t>
            </w:r>
            <w:r>
              <w:rPr>
                <w:b w:val="false"/>
                <w:bCs w:val="false"/>
                <w:i w:val="false"/>
                <w:iCs w:val="false"/>
              </w:rPr>
              <w:t xml:space="preserve"> Secure NRIS database connectivity, read-only and transactional interfaces, synchronization and performance optimization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Where the Purchaser approves it, database connections run encrypted from defined hosts under named service accounts, read-only for retrieval and transactional where write access is approved, with scheduled synchronization and queries indexed to production access patterns. As clarified in Clarifications to Queries 005, the main route is the NRIS API the Purchaser provides.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7.5 and 13.2</w:t>
            </w:r>
          </w:p>
        </w:tc>
      </w:tr>
      <w:tr>
        <w:tc>
          <w:tcPr>
            <w:tcW w:type="dxa" w:w="2000"/>
            <w:tcMar>
              <w:top w:type="dxa" w:w="60"/>
              <w:left w:type="dxa" w:w="100"/>
              <w:bottom w:type="dxa" w:w="60"/>
              <w:right w:type="dxa" w:w="100"/>
            </w:tcMar>
          </w:tcPr>
          <w:p>
            <w:pPr>
              <w:spacing w:after="0" w:before="0"/>
            </w:pPr>
            <w:r>
              <w:rPr>
                <w:b/>
                <w:bCs/>
                <w:i w:val="false"/>
                <w:iCs w:val="false"/>
              </w:rPr>
              <w:t xml:space="preserve">2.1.3.6.1</w:t>
            </w:r>
            <w:r>
              <w:rPr>
                <w:b w:val="false"/>
                <w:bCs w:val="false"/>
                <w:i w:val="false"/>
                <w:iCs w:val="false"/>
              </w:rPr>
              <w:t xml:space="preserve"> Support real-time transactions and batch processing for requests, status, alerts, reprints and historical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production requests, card status updates and production alerts are exchanged in real time. Daily production batches, bulk reprints and historical data synchronization run as scheduled batches, using secure file transfer where suited. Both modes write to the same records and audit trail, so each card has one history.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7.2 and 7.6</w:t>
            </w:r>
          </w:p>
        </w:tc>
      </w:tr>
      <w:tr>
        <w:tc>
          <w:tcPr>
            <w:tcW w:type="dxa" w:w="2000"/>
            <w:tcMar>
              <w:top w:type="dxa" w:w="60"/>
              <w:left w:type="dxa" w:w="100"/>
              <w:bottom w:type="dxa" w:w="60"/>
              <w:right w:type="dxa" w:w="100"/>
            </w:tcMar>
          </w:tcPr>
          <w:p>
            <w:pPr>
              <w:spacing w:after="0" w:before="0"/>
            </w:pPr>
            <w:r>
              <w:rPr>
                <w:b/>
                <w:bCs/>
                <w:i w:val="false"/>
                <w:iCs w:val="false"/>
              </w:rPr>
              <w:t xml:space="preserve">2.1.3.7.1</w:t>
            </w:r>
            <w:r>
              <w:rPr>
                <w:b w:val="false"/>
                <w:bCs w:val="false"/>
                <w:i w:val="false"/>
                <w:iCs w:val="false"/>
              </w:rPr>
              <w:t xml:space="preserve"> Implement transaction logging, security logging, audit trail synchronization and user activity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boundary exchange is logged with direction, payload reference, outcome and time. Authentication, certificate and access events are security-logged, operator and administrator actions are tracked by named identity, and production audit records are aligned with the NRIS audit trail. Audit records are tamper-proof and time-synchronized.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7.14 and 10.6</w:t>
            </w:r>
          </w:p>
        </w:tc>
      </w:tr>
      <w:tr>
        <w:tc>
          <w:tcPr>
            <w:tcW w:type="dxa" w:w="2000"/>
            <w:tcMar>
              <w:top w:type="dxa" w:w="60"/>
              <w:left w:type="dxa" w:w="100"/>
              <w:bottom w:type="dxa" w:w="60"/>
              <w:right w:type="dxa" w:w="100"/>
            </w:tcMar>
          </w:tcPr>
          <w:p>
            <w:pPr>
              <w:spacing w:after="0" w:before="0"/>
            </w:pPr>
            <w:r>
              <w:rPr>
                <w:b/>
                <w:bCs/>
                <w:i w:val="false"/>
                <w:iCs w:val="false"/>
              </w:rPr>
              <w:t xml:space="preserve">2.1.3.7.2</w:t>
            </w:r>
            <w:r>
              <w:rPr>
                <w:b w:val="false"/>
                <w:bCs w:val="false"/>
                <w:i w:val="false"/>
                <w:iCs w:val="false"/>
              </w:rPr>
              <w:t xml:space="preserve"> All transactions traceable from NRIS through card production and mailing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record is keyed to the National Identity Number and the card serial number, and every stage writes against that key. A card is traceable from the retrieved NRIS request through validation, preparation, signing, marking, verification, packaging and dispatch to delivery confirmation, and blank card states are also published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6.10 and 7.14</w:t>
            </w:r>
          </w:p>
        </w:tc>
      </w:tr>
      <w:tr>
        <w:tc>
          <w:tcPr>
            <w:tcW w:type="dxa" w:w="2000"/>
            <w:tcMar>
              <w:top w:type="dxa" w:w="60"/>
              <w:left w:type="dxa" w:w="100"/>
              <w:bottom w:type="dxa" w:w="60"/>
              <w:right w:type="dxa" w:w="100"/>
            </w:tcMar>
          </w:tcPr>
          <w:p>
            <w:pPr>
              <w:spacing w:after="0" w:before="0"/>
            </w:pPr>
            <w:r>
              <w:rPr>
                <w:b/>
                <w:bCs/>
                <w:i w:val="false"/>
                <w:iCs w:val="false"/>
              </w:rPr>
              <w:t xml:space="preserve">2.1.3.8.1</w:t>
            </w:r>
            <w:r>
              <w:rPr>
                <w:b w:val="false"/>
                <w:bCs w:val="false"/>
                <w:i w:val="false"/>
                <w:iCs w:val="false"/>
              </w:rPr>
              <w:t xml:space="preserve"> Integrate with NRIS disaster recovery, support failover and ensure continuity of card production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Interfaces are configured against the NRIS recovery endpoints as well as the primary, interface components run on the clustered platform with automatic failover, and retrieved work keeps being produced while NRIS is unavailable. As clarified in Clarifications to Queries 005, the secondary environment is provisioned at the existing NRB disaster recovery site in Blantyre.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7.15 and 9.3; Cybersecurity Risk Management Plan Section 8.1</w:t>
            </w:r>
          </w:p>
        </w:tc>
      </w:tr>
      <w:tr>
        <w:tc>
          <w:tcPr>
            <w:tcW w:type="dxa" w:w="2000"/>
            <w:tcMar>
              <w:top w:type="dxa" w:w="60"/>
              <w:left w:type="dxa" w:w="100"/>
              <w:bottom w:type="dxa" w:w="60"/>
              <w:right w:type="dxa" w:w="100"/>
            </w:tcMar>
          </w:tcPr>
          <w:p>
            <w:pPr>
              <w:spacing w:after="0" w:before="0"/>
            </w:pPr>
            <w:r>
              <w:rPr>
                <w:b/>
                <w:bCs/>
                <w:i w:val="false"/>
                <w:iCs w:val="false"/>
              </w:rPr>
              <w:t xml:space="preserve">2.1.4.1.1</w:t>
            </w:r>
            <w:r>
              <w:rPr>
                <w:b w:val="false"/>
                <w:bCs w:val="false"/>
                <w:i w:val="false"/>
                <w:iCs w:val="false"/>
              </w:rPr>
              <w:t xml:space="preserve"> Receive NRIS production requests and automatically validate, queue, batch and generate production jobs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Data Preparation Service retrieves requests released by NRIS and checks each against the database, so none is queued twice. Records are validated, queued, assembled into batches of configurable size, 500 to 1,000 cards in normal operation, and prepared into print-ready jobs released to a production 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6.2, 6.4 and 7.7</w:t>
            </w:r>
          </w:p>
        </w:tc>
      </w:tr>
      <w:tr>
        <w:tc>
          <w:tcPr>
            <w:tcW w:type="dxa" w:w="2000"/>
            <w:tcMar>
              <w:top w:type="dxa" w:w="60"/>
              <w:left w:type="dxa" w:w="100"/>
              <w:bottom w:type="dxa" w:w="60"/>
              <w:right w:type="dxa" w:w="100"/>
            </w:tcMar>
          </w:tcPr>
          <w:p>
            <w:pPr>
              <w:spacing w:after="0" w:before="0"/>
            </w:pPr>
            <w:r>
              <w:rPr>
                <w:b/>
                <w:bCs/>
                <w:i w:val="false"/>
                <w:iCs w:val="false"/>
              </w:rPr>
              <w:t xml:space="preserve">2.1.4.2.1</w:t>
            </w:r>
            <w:r>
              <w:rPr>
                <w:b w:val="false"/>
                <w:bCs w:val="false"/>
                <w:i w:val="false"/>
                <w:iCs w:val="false"/>
              </w:rPr>
              <w:t xml:space="preserve"> Retrieve approved records, biographical data, photograph, signature and issuance information from NRIS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For each released record the System retrieves the approved citizen record, biographical information, the photograph, checked against ICAO size and resolution specifications, the signature image and card issuance information over the secured exchange. Data is held only while production needs it, so the facility keeps no second copy of the register.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7.8 and 10.2</w:t>
            </w:r>
          </w:p>
        </w:tc>
      </w:tr>
      <w:tr>
        <w:tc>
          <w:tcPr>
            <w:tcW w:type="dxa" w:w="2000"/>
            <w:tcMar>
              <w:top w:type="dxa" w:w="60"/>
              <w:left w:type="dxa" w:w="100"/>
              <w:bottom w:type="dxa" w:w="60"/>
              <w:right w:type="dxa" w:w="100"/>
            </w:tcMar>
          </w:tcPr>
          <w:p>
            <w:pPr>
              <w:spacing w:after="0" w:before="0"/>
            </w:pPr>
            <w:r>
              <w:rPr>
                <w:b/>
                <w:bCs/>
                <w:i w:val="false"/>
                <w:iCs w:val="false"/>
              </w:rPr>
              <w:t xml:space="preserve">2.1.4.3.1</w:t>
            </w:r>
            <w:r>
              <w:rPr>
                <w:b w:val="false"/>
                <w:bCs w:val="false"/>
                <w:i w:val="false"/>
                <w:iCs w:val="false"/>
              </w:rPr>
              <w:t xml:space="preserve"> Generate personalization data and layouts, print and laser engrave, encode barcode data (as amended)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amended by Addendum No. 2 and clarified in the Response to Clarifications 001, the cards are chipless. The Data Preparation Service binds each record into the approved template, the laser engraves all visual and personalization data within the card body, and the digitally signed biometric QR code is encoded as the machine-readable element.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4.5, 6.3 and 7.9;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2.1.4.4.1</w:t>
            </w:r>
            <w:r>
              <w:rPr>
                <w:b w:val="false"/>
                <w:bCs w:val="false"/>
                <w:i w:val="false"/>
                <w:iCs w:val="false"/>
              </w:rPr>
              <w:t xml:space="preserve"> Verify printing, engraving and machine-readable elements, reject defective cards, update NRIS on outcomes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Engraved data is read by optical character recognition and checked against the source record, engraving quality is assessed against acceptance thresholds, and the QR code is compared byte for byte with the signed payload. Failing cards are diverted and recorded with a reason, and every outcome is reported to NRIS. [CONFIRM: The Laser personalization system datasheet lists vision inspection (OCR, OCV and 2D code validation of every card) as an optional module. Inkript to confirm it is in the configuration ordered, since System Architecture Section 3.6 commits to in-line verification of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3.6, 6.8 and 7.9;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2.1.4.5.1</w:t>
            </w:r>
            <w:r>
              <w:rPr>
                <w:b w:val="false"/>
                <w:bCs w:val="false"/>
                <w:i w:val="false"/>
                <w:iCs w:val="false"/>
              </w:rPr>
              <w:t xml:space="preserve"> Integrate with NRIS to manage new, replacement, duplicate, lost, damaged and cancelled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transaction is identified by the type on the NRIS record. New, replacement, duplicate, lost and damaged card requests are produced, with superseded cards flagged in NRIS, and a cancellation flags the record and withdraws any card in production. A unique card serial number distinguishes each physical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2.3 and 7.10</w:t>
            </w:r>
          </w:p>
        </w:tc>
      </w:tr>
      <w:tr>
        <w:tc>
          <w:tcPr>
            <w:tcW w:type="dxa" w:w="2000"/>
            <w:tcMar>
              <w:top w:type="dxa" w:w="60"/>
              <w:left w:type="dxa" w:w="100"/>
              <w:bottom w:type="dxa" w:w="60"/>
              <w:right w:type="dxa" w:w="100"/>
            </w:tcMar>
          </w:tcPr>
          <w:p>
            <w:pPr>
              <w:spacing w:after="0" w:before="0"/>
            </w:pPr>
            <w:r>
              <w:rPr>
                <w:b/>
                <w:bCs/>
                <w:i w:val="false"/>
                <w:iCs w:val="false"/>
              </w:rPr>
              <w:t xml:space="preserve">2.1.4.6.1</w:t>
            </w:r>
            <w:r>
              <w:rPr>
                <w:b w:val="false"/>
                <w:bCs w:val="false"/>
                <w:i w:val="false"/>
                <w:iCs w:val="false"/>
              </w:rPr>
              <w:t xml:space="preserve"> Automatically update NRIS on each production status, from job received to delivered or rejected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Status is published to NRIS automatically, without operator action, for job received, card in production, quality control completed, card personalized, card packaged, card dispatched, card delivered and card rejected. Each event carries the National Identity Number, card serial number, job and time.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6.4 and 7.11</w:t>
            </w:r>
          </w:p>
        </w:tc>
      </w:tr>
      <w:tr>
        <w:tc>
          <w:tcPr>
            <w:tcW w:type="dxa" w:w="2000"/>
            <w:tcMar>
              <w:top w:type="dxa" w:w="60"/>
              <w:left w:type="dxa" w:w="100"/>
              <w:bottom w:type="dxa" w:w="60"/>
              <w:right w:type="dxa" w:w="100"/>
            </w:tcMar>
          </w:tcPr>
          <w:p>
            <w:pPr>
              <w:spacing w:after="0" w:before="0"/>
            </w:pPr>
            <w:r>
              <w:rPr>
                <w:b/>
                <w:bCs/>
                <w:i w:val="false"/>
                <w:iCs w:val="false"/>
              </w:rPr>
              <w:t xml:space="preserve">2.1.4.7.1</w:t>
            </w:r>
            <w:r>
              <w:rPr>
                <w:b w:val="false"/>
                <w:bCs w:val="false"/>
                <w:i w:val="false"/>
                <w:iCs w:val="false"/>
              </w:rPr>
              <w:t xml:space="preserve"> Integrate mailing with NRIS: mail pieces, labels, envelope personalization, address validation, dispatch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supplies each mailing line with carrier content and destination drawn from the NRIS record, generates mail pieces and dispatch batch labels, prints the address and dispatch reference on the carrier behind the envelope window, validates destination data before printing, and tracks each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5.3, 5.7, 6.9 and 8.6</w:t>
            </w:r>
          </w:p>
        </w:tc>
      </w:tr>
      <w:tr>
        <w:tc>
          <w:tcPr>
            <w:tcW w:type="dxa" w:w="2000"/>
            <w:tcMar>
              <w:top w:type="dxa" w:w="60"/>
              <w:left w:type="dxa" w:w="100"/>
              <w:bottom w:type="dxa" w:w="60"/>
              <w:right w:type="dxa" w:w="100"/>
            </w:tcMar>
          </w:tcPr>
          <w:p>
            <w:pPr>
              <w:spacing w:after="0" w:before="0"/>
            </w:pPr>
            <w:r>
              <w:rPr>
                <w:b/>
                <w:bCs/>
                <w:i w:val="false"/>
                <w:iCs w:val="false"/>
              </w:rPr>
              <w:t xml:space="preserve">2.1.4.8.1</w:t>
            </w:r>
            <w:r>
              <w:rPr>
                <w:b w:val="false"/>
                <w:bCs w:val="false"/>
                <w:i w:val="false"/>
                <w:iCs w:val="false"/>
              </w:rPr>
              <w:t xml:space="preserve"> Provide dispatch status updates, batch tracking, consignment tracking and delivery confirmation updates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dispatch record is created for every mail piece, pieces are grouped into dispatch batches tracked as consignments with a handover record, and status advances by event to dispatched, delivered and available for collection. As clarified in Clarifications to Queries 005, Inkript engages the postal operator and connects the System to its tracking service. [CONFIRM: Clarifications to Queries 005 makes the Supplier solely responsible for engaging and contracting with postal operators. System Architecture Section 8.6 and System Architecture Section 13.2 commit only to engaging the operator and connecting its tracking service, and keep physical delivery with NRB. Inkript to confirm the contracting position and align both sections.]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8.1, 8.2, 8.3 and 8.6</w:t>
            </w:r>
          </w:p>
        </w:tc>
      </w:tr>
      <w:tr>
        <w:tc>
          <w:tcPr>
            <w:tcW w:type="dxa" w:w="2000"/>
            <w:tcMar>
              <w:top w:type="dxa" w:w="60"/>
              <w:left w:type="dxa" w:w="100"/>
              <w:bottom w:type="dxa" w:w="60"/>
              <w:right w:type="dxa" w:w="100"/>
            </w:tcMar>
          </w:tcPr>
          <w:p>
            <w:pPr>
              <w:spacing w:after="0" w:before="0"/>
            </w:pPr>
            <w:r>
              <w:rPr>
                <w:b/>
                <w:bCs/>
                <w:i w:val="false"/>
                <w:iCs w:val="false"/>
              </w:rPr>
              <w:t xml:space="preserve">2.1.4.8.2</w:t>
            </w:r>
            <w:r>
              <w:rPr>
                <w:b w:val="false"/>
                <w:bCs w:val="false"/>
                <w:i w:val="false"/>
                <w:iCs w:val="false"/>
              </w:rPr>
              <w:t xml:space="preserve"> Feed dispatch and delivery status information back into NRIS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packaged, card dispatched and card delivered events are sent to NRIS over the single interface, each attributable to one physical card, and advance the NRIS document tracker that sends the cardholder SMS. Events raised during an interface outage are held and published in order on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7.15, 8.3 and 8.4</w:t>
            </w:r>
          </w:p>
        </w:tc>
      </w:tr>
      <w:tr>
        <w:tc>
          <w:tcPr>
            <w:tcW w:type="dxa" w:w="2000"/>
            <w:tcMar>
              <w:top w:type="dxa" w:w="60"/>
              <w:left w:type="dxa" w:w="100"/>
              <w:bottom w:type="dxa" w:w="60"/>
              <w:right w:type="dxa" w:w="100"/>
            </w:tcMar>
          </w:tcPr>
          <w:p>
            <w:pPr>
              <w:spacing w:after="0" w:before="0"/>
            </w:pPr>
            <w:r>
              <w:rPr>
                <w:b/>
                <w:bCs/>
                <w:i w:val="false"/>
                <w:iCs w:val="false"/>
              </w:rPr>
              <w:t xml:space="preserve">2.1.4.9</w:t>
            </w:r>
            <w:r>
              <w:rPr>
                <w:b w:val="false"/>
                <w:bCs w:val="false"/>
                <w:i w:val="false"/>
                <w:iCs w:val="false"/>
              </w:rPr>
              <w:t xml:space="preserve"> Reprint and exception management (RFP gives the heading only, with no requirement text)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Reprint requests from NRIS follow the standard production path and produce a card with a new serial number, while in-job rejects are reproduced within their job. Unreachable interfaces, exhausted retries, failed validation, incomplete records, withdrawn cards and duplicate requests each follow a defined handling path and are recorded against the affected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3.7 and 7.12</w:t>
            </w:r>
          </w:p>
        </w:tc>
      </w:tr>
      <w:tr>
        <w:tc>
          <w:tcPr>
            <w:tcW w:type="dxa" w:w="2000"/>
            <w:tcMar>
              <w:top w:type="dxa" w:w="60"/>
              <w:left w:type="dxa" w:w="100"/>
              <w:bottom w:type="dxa" w:w="60"/>
              <w:right w:type="dxa" w:w="100"/>
            </w:tcMar>
          </w:tcPr>
          <w:p>
            <w:pPr>
              <w:spacing w:after="0" w:before="0"/>
            </w:pPr>
            <w:r>
              <w:rPr>
                <w:b/>
                <w:bCs/>
                <w:i w:val="false"/>
                <w:iCs w:val="false"/>
              </w:rPr>
              <w:t xml:space="preserve">2.1.4.10.1</w:t>
            </w:r>
            <w:r>
              <w:rPr>
                <w:b w:val="false"/>
                <w:bCs w:val="false"/>
                <w:i w:val="false"/>
                <w:iCs w:val="false"/>
              </w:rPr>
              <w:t xml:space="preserve"> Reporting integration: daily volumes, issuance statistics, rejection rates, throughput, mailing performance, SLA compliance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Production data is made available to NRIS reporting for daily volumes by line and shift, issuance statistics by transaction type, rejection rates with reasons, personalization throughput against the contractual rate, mailing performance and SLA compliance. Reports draw on the card-level records that drive status feedback, so figures reconcile.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6.11 and 7.13</w:t>
            </w:r>
          </w:p>
        </w:tc>
      </w:tr>
      <w:tr>
        <w:tc>
          <w:tcPr>
            <w:tcW w:type="dxa" w:w="2000"/>
            <w:tcMar>
              <w:top w:type="dxa" w:w="60"/>
              <w:left w:type="dxa" w:w="100"/>
              <w:bottom w:type="dxa" w:w="60"/>
              <w:right w:type="dxa" w:w="100"/>
            </w:tcMar>
          </w:tcPr>
          <w:p>
            <w:pPr>
              <w:spacing w:after="0" w:before="0"/>
            </w:pPr>
            <w:r>
              <w:rPr>
                <w:b/>
                <w:bCs/>
                <w:i w:val="false"/>
                <w:iCs w:val="false"/>
              </w:rPr>
              <w:t xml:space="preserve">2.1.5.1</w:t>
            </w:r>
            <w:r>
              <w:rPr>
                <w:b w:val="false"/>
                <w:bCs w:val="false"/>
                <w:i w:val="false"/>
                <w:iCs w:val="false"/>
              </w:rPr>
              <w:t xml:space="preserve"> Interface testing: API testing, data validation testing and error handling testing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operation on every interface is tested against its Interface Control Document, field-level validation covers type, length, permitted and boundary values, and each documented error condition is induced. Testing runs against simulators from week 9 and against the NRIS test environment from week 18.</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7.16; Preliminary Project Plan Sections 4.1 and 4.4</w:t>
            </w:r>
          </w:p>
        </w:tc>
      </w:tr>
      <w:tr>
        <w:tc>
          <w:tcPr>
            <w:tcW w:type="dxa" w:w="2000"/>
            <w:tcMar>
              <w:top w:type="dxa" w:w="60"/>
              <w:left w:type="dxa" w:w="100"/>
              <w:bottom w:type="dxa" w:w="60"/>
              <w:right w:type="dxa" w:w="100"/>
            </w:tcMar>
          </w:tcPr>
          <w:p>
            <w:pPr>
              <w:spacing w:after="0" w:before="0"/>
            </w:pPr>
            <w:r>
              <w:rPr>
                <w:b/>
                <w:bCs/>
                <w:i w:val="false"/>
                <w:iCs w:val="false"/>
              </w:rPr>
              <w:t xml:space="preserve">2.1.5.2.1</w:t>
            </w:r>
            <w:r>
              <w:rPr>
                <w:b w:val="false"/>
                <w:bCs w:val="false"/>
                <w:i w:val="false"/>
                <w:iCs w:val="false"/>
              </w:rPr>
              <w:t xml:space="preserve"> System integration testing of end-to-end data flow, process orchestration and exception handling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System integration testing in weeks 23 and 24, with NRB developers, verifies end-to-end data flow from request retrieval to delivery confirmation and orchestration across the full production sequence, and exercises exception handling by inducing each defined exception condition rather than by inspection.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7.16; Preliminary Project Plan Section 4.4</w:t>
            </w:r>
          </w:p>
        </w:tc>
      </w:tr>
      <w:tr>
        <w:tc>
          <w:tcPr>
            <w:tcW w:type="dxa" w:w="2000"/>
            <w:tcMar>
              <w:top w:type="dxa" w:w="60"/>
              <w:left w:type="dxa" w:w="100"/>
              <w:bottom w:type="dxa" w:w="60"/>
              <w:right w:type="dxa" w:w="100"/>
            </w:tcMar>
          </w:tcPr>
          <w:p>
            <w:pPr>
              <w:spacing w:after="0" w:before="0"/>
            </w:pPr>
            <w:r>
              <w:rPr>
                <w:b/>
                <w:bCs/>
                <w:i w:val="false"/>
                <w:iCs w:val="false"/>
              </w:rPr>
              <w:t xml:space="preserve">2.1.5.3.1</w:t>
            </w:r>
            <w:r>
              <w:rPr>
                <w:b w:val="false"/>
                <w:bCs w:val="false"/>
                <w:i w:val="false"/>
                <w:iCs w:val="false"/>
              </w:rPr>
              <w:t xml:space="preserve"> Performance testing of throughput, batch processing capacity and concurrent transaction processing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Performance testing verifies throughput against the required production rate, batch processing at the daily volume and concurrent transactions at expected load, at the contracted volumes rather than a reduced scale, through throughput benchmarks, load, stress, transaction integrity and sustained operation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7.16 and 11.6; Preliminary Project Plan Section 4.4</w:t>
            </w:r>
          </w:p>
        </w:tc>
      </w:tr>
      <w:tr>
        <w:tc>
          <w:tcPr>
            <w:tcW w:type="dxa" w:w="2000"/>
            <w:tcMar>
              <w:top w:type="dxa" w:w="60"/>
              <w:left w:type="dxa" w:w="100"/>
              <w:bottom w:type="dxa" w:w="60"/>
              <w:right w:type="dxa" w:w="100"/>
            </w:tcMar>
          </w:tcPr>
          <w:p>
            <w:pPr>
              <w:spacing w:after="0" w:before="0"/>
            </w:pPr>
            <w:r>
              <w:rPr>
                <w:b/>
                <w:bCs/>
                <w:i w:val="false"/>
                <w:iCs w:val="false"/>
              </w:rPr>
              <w:t xml:space="preserve">2.1.5.4.1</w:t>
            </w:r>
            <w:r>
              <w:rPr>
                <w:b w:val="false"/>
                <w:bCs w:val="false"/>
                <w:i w:val="false"/>
                <w:iCs w:val="false"/>
              </w:rPr>
              <w:t xml:space="preserve"> Security testing: vulnerability assessment, penetration testing, authentication testing and encryption validation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Vulnerability assessment covers the integration components and hosts. An independent third party penetration-tests the full deployed configuration in week 24, with retest in weeks 25 and 26. Authentication testing confirms that invalid and expired certificates and unauthenticated requests are refused, and encryption validation confirms that weak protocols and ciphers are rejected.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7.16; Preliminary Project Plan Section 4.4; Cybersecurity Risk Management Plan Section 6.2</w:t>
            </w:r>
          </w:p>
        </w:tc>
      </w:tr>
      <w:tr>
        <w:tc>
          <w:tcPr>
            <w:tcW w:type="dxa" w:w="2000"/>
            <w:tcMar>
              <w:top w:type="dxa" w:w="60"/>
              <w:left w:type="dxa" w:w="100"/>
              <w:bottom w:type="dxa" w:w="60"/>
              <w:right w:type="dxa" w:w="100"/>
            </w:tcMar>
          </w:tcPr>
          <w:p>
            <w:pPr>
              <w:spacing w:after="0" w:before="0"/>
            </w:pPr>
            <w:r>
              <w:rPr>
                <w:b/>
                <w:bCs/>
                <w:i w:val="false"/>
                <w:iCs w:val="false"/>
              </w:rPr>
              <w:t xml:space="preserve">2.1.5.5.1</w:t>
            </w:r>
            <w:r>
              <w:rPr>
                <w:b w:val="false"/>
                <w:bCs w:val="false"/>
                <w:i w:val="false"/>
                <w:iCs w:val="false"/>
              </w:rPr>
              <w:t xml:space="preserve"> Support NRIS stakeholders in user acceptance testing of workflows, functions and reports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 weeks 24 and 25, NRIS stakeholders validate business workflows, functional requirements and reporting requirements against the live integration, supported by the Supplier with test data preparation, scenario walkthroughs, defect triage and retesting. The outcome is recorded in the User Acceptance Test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7.16; Preliminary Project Plan Sections 4.1 and 4.4</w:t>
            </w:r>
          </w:p>
        </w:tc>
      </w:tr>
      <w:tr>
        <w:tc>
          <w:tcPr>
            <w:tcW w:type="dxa" w:w="2000"/>
            <w:tcMar>
              <w:top w:type="dxa" w:w="60"/>
              <w:left w:type="dxa" w:w="100"/>
              <w:bottom w:type="dxa" w:w="60"/>
              <w:right w:type="dxa" w:w="100"/>
            </w:tcMar>
          </w:tcPr>
          <w:p>
            <w:pPr>
              <w:spacing w:after="0" w:before="0"/>
            </w:pPr>
            <w:r>
              <w:rPr>
                <w:b/>
                <w:bCs/>
                <w:i w:val="false"/>
                <w:iCs w:val="false"/>
              </w:rPr>
              <w:t xml:space="preserve">2.1.6.1</w:t>
            </w:r>
            <w:r>
              <w:rPr>
                <w:b w:val="false"/>
                <w:bCs w:val="false"/>
                <w:i w:val="false"/>
                <w:iCs w:val="false"/>
              </w:rPr>
              <w:t xml:space="preserve"> Provide the thirteen listed integration deliverables, from strategy to knowledge transfer materials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thirteen are provided: integration strategy and methodology, detailed architecture, Interface Control Documents, API specifications, data mapping and transformation documents, security design, test plans and scripts, integration, performance and security test reports, as-built integration documentation, operations and maintenance manuals, and knowledge transfer and training materials,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7.17; Preliminary Project Plan Section 2.10</w:t>
            </w:r>
          </w:p>
        </w:tc>
      </w:tr>
    </w:tbl>
    <w:p>
      <w:pPr>
        <w:spacing w:after="140"/>
      </w:pPr>
    </w:p>
    <w:p>
      <w:pPr>
        <w:pStyle w:val="Heading2"/>
        <w:numPr>
          <w:ilvl w:val="1"/>
          <w:numId w:val="2"/>
        </w:numPr>
        <w:spacing w:after="140" w:before="260"/>
      </w:pPr>
      <w:r>
        <w:t xml:space="preserve">T</w:t>
      </w:r>
      <w:bookmarkStart w:name="sec_2_2" w:id="1"/>
      <w:r>
        <w:rPr>
          <w:b w:val="false"/>
          <w:bCs w:val="false"/>
          <w:i w:val="false"/>
          <w:iCs w:val="false"/>
        </w:rPr>
        <w:t xml:space="preserve">raining and training materials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20"/>
        <w:gridCol w:w="4900"/>
        <w:gridCol w:w="2000"/>
      </w:tblGrid>
      <w:tr>
        <w:trPr>
          <w:tblHeader/>
        </w:trPr>
        <w:tc>
          <w:tcPr>
            <w:tcW w:type="dxa" w:w="212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0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20"/>
            <w:tcMar>
              <w:top w:type="dxa" w:w="60"/>
              <w:left w:type="dxa" w:w="100"/>
              <w:bottom w:type="dxa" w:w="60"/>
              <w:right w:type="dxa" w:w="100"/>
            </w:tcMar>
          </w:tcPr>
          <w:p>
            <w:pPr>
              <w:spacing w:after="0" w:before="0"/>
            </w:pPr>
            <w:r>
              <w:rPr>
                <w:b/>
                <w:bCs/>
                <w:i w:val="false"/>
                <w:iCs w:val="false"/>
              </w:rPr>
              <w:t xml:space="preserve">2.2.1.1.1</w:t>
            </w:r>
            <w:r>
              <w:rPr>
                <w:b w:val="false"/>
                <w:bCs w:val="false"/>
                <w:i w:val="false"/>
                <w:iCs w:val="false"/>
              </w:rPr>
              <w:t xml:space="preserve"> User training participants: operators, issuance, quality assurance, mailing, helpdesk staff and supervisors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User training covers card personalization operators, card issuance officers, quality assurance staff, mailing and dispatch officers, helpdesk and frontline support staff, and supervisors. As requested in the Responses to Queries 003, Inkript recommends 24 user trainees against a minimum of 16 to staff two shifts, with prerequisites for each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3.2 and 3.3</w:t>
            </w:r>
          </w:p>
        </w:tc>
      </w:tr>
      <w:tr>
        <w:tc>
          <w:tcPr>
            <w:tcW w:type="dxa" w:w="2120"/>
            <w:tcMar>
              <w:top w:type="dxa" w:w="60"/>
              <w:left w:type="dxa" w:w="100"/>
              <w:bottom w:type="dxa" w:w="60"/>
              <w:right w:type="dxa" w:w="100"/>
            </w:tcMar>
          </w:tcPr>
          <w:p>
            <w:pPr>
              <w:spacing w:after="0" w:before="0"/>
            </w:pPr>
            <w:r>
              <w:rPr>
                <w:b/>
                <w:bCs/>
                <w:i w:val="false"/>
                <w:iCs w:val="false"/>
              </w:rPr>
              <w:t xml:space="preserve">2.2.1.1.2</w:t>
            </w:r>
            <w:r>
              <w:rPr>
                <w:b w:val="false"/>
                <w:bCs w:val="false"/>
                <w:i w:val="false"/>
                <w:iCs w:val="false"/>
              </w:rPr>
              <w:t xml:space="preserve"> User training minimum curriculum, from system overview to reporting</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Role-based modules cover system overview, card personalization operations, mailing system operations, quality assurance procedures, routine operations, security and compliance, and reporting, plus card issuance workflow, helpdesk support and scenario-based supervised production. The longest path, a supervisor's, is nine and a half days.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3.3 and 3.8</w:t>
            </w:r>
          </w:p>
        </w:tc>
      </w:tr>
      <w:tr>
        <w:tc>
          <w:tcPr>
            <w:tcW w:type="dxa" w:w="2120"/>
            <w:tcMar>
              <w:top w:type="dxa" w:w="60"/>
              <w:left w:type="dxa" w:w="100"/>
              <w:bottom w:type="dxa" w:w="60"/>
              <w:right w:type="dxa" w:w="100"/>
            </w:tcMar>
          </w:tcPr>
          <w:p>
            <w:pPr>
              <w:spacing w:after="0" w:before="0"/>
            </w:pPr>
            <w:r>
              <w:rPr>
                <w:b/>
                <w:bCs/>
                <w:i w:val="false"/>
                <w:iCs w:val="false"/>
              </w:rPr>
              <w:t xml:space="preserve">2.2.1.1.3 (1 of 3)</w:t>
            </w:r>
            <w:r>
              <w:rPr>
                <w:b w:val="false"/>
                <w:bCs w:val="false"/>
                <w:i w:val="false"/>
                <w:iCs w:val="false"/>
              </w:rPr>
              <w:t xml:space="preserve"> Mode of user training: classroom, hands-on, on-the-job coaching, live demonstrations, scenario simulations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User training combines classroom theory, hands-on practice on the deployed system, live production environment demonstrations, scenario-based simulations of faults and exceptions, and on-the-job coaching through operational acceptance. Trainees run pilot production under supervision as their practical assessment.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3.1 and 3.3</w:t>
            </w:r>
          </w:p>
        </w:tc>
      </w:tr>
      <w:tr>
        <w:tc>
          <w:tcPr>
            <w:tcW w:type="dxa" w:w="2120"/>
            <w:tcMar>
              <w:top w:type="dxa" w:w="60"/>
              <w:left w:type="dxa" w:w="100"/>
              <w:bottom w:type="dxa" w:w="60"/>
              <w:right w:type="dxa" w:w="100"/>
            </w:tcMar>
          </w:tcPr>
          <w:p>
            <w:pPr>
              <w:spacing w:after="0" w:before="0"/>
            </w:pPr>
            <w:r>
              <w:rPr>
                <w:b/>
                <w:bCs/>
                <w:i w:val="false"/>
                <w:iCs w:val="false"/>
              </w:rPr>
              <w:t xml:space="preserve">2.2.1.1.3 (2 of 3)</w:t>
            </w:r>
            <w:r>
              <w:rPr>
                <w:b w:val="false"/>
                <w:bCs w:val="false"/>
                <w:i w:val="false"/>
                <w:iCs w:val="false"/>
              </w:rPr>
              <w:t xml:space="preserve"> User training materials, from manuals to training reports, in editable electronic format and PDF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Materials comprise user manuals, Standard Operating Procedures, quick reference guides for each console, presentation slides, practical exercise manuals, video tutorials for equipment tasks, assessment tests, attendance registers and training reports, all in English and delivered in editable electronic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3.3 and 3.7</w:t>
            </w:r>
          </w:p>
        </w:tc>
      </w:tr>
      <w:tr>
        <w:tc>
          <w:tcPr>
            <w:tcW w:type="dxa" w:w="2120"/>
            <w:tcMar>
              <w:top w:type="dxa" w:w="60"/>
              <w:left w:type="dxa" w:w="100"/>
              <w:bottom w:type="dxa" w:w="60"/>
              <w:right w:type="dxa" w:w="100"/>
            </w:tcMar>
          </w:tcPr>
          <w:p>
            <w:pPr>
              <w:spacing w:after="0" w:before="0"/>
            </w:pPr>
            <w:r>
              <w:rPr>
                <w:b/>
                <w:bCs/>
                <w:i w:val="false"/>
                <w:iCs w:val="false"/>
              </w:rPr>
              <w:t xml:space="preserve">2.2.1.1.3 (3 of 3)</w:t>
            </w:r>
            <w:r>
              <w:rPr>
                <w:b w:val="false"/>
                <w:bCs w:val="false"/>
                <w:i w:val="false"/>
                <w:iCs w:val="false"/>
              </w:rPr>
              <w:t xml:space="preserve"> User training location: on site, OEM facilities where needed, hands-on on the deployed system</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Hands-on training is delivered on the deployed system at the Card Production Facility, classroom sessions on site or at Government of Malawi training facilities, and specialized equipment training at the equipment manufacturer's facility during factory acceptance and on site.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3.4 and 3.6</w:t>
            </w:r>
          </w:p>
        </w:tc>
      </w:tr>
      <w:tr>
        <w:tc>
          <w:tcPr>
            <w:tcW w:type="dxa" w:w="2120"/>
            <w:tcMar>
              <w:top w:type="dxa" w:w="60"/>
              <w:left w:type="dxa" w:w="100"/>
              <w:bottom w:type="dxa" w:w="60"/>
              <w:right w:type="dxa" w:w="100"/>
            </w:tcMar>
          </w:tcPr>
          <w:p>
            <w:pPr>
              <w:spacing w:after="0" w:before="0"/>
            </w:pPr>
            <w:r>
              <w:rPr>
                <w:b/>
                <w:bCs/>
                <w:i w:val="false"/>
                <w:iCs w:val="false"/>
              </w:rPr>
              <w:t xml:space="preserve">2.2.2.1.1</w:t>
            </w:r>
            <w:r>
              <w:rPr>
                <w:b w:val="false"/>
                <w:bCs w:val="false"/>
                <w:i w:val="false"/>
                <w:iCs w:val="false"/>
              </w:rPr>
              <w:t xml:space="preserve"> Technical training participants: system, database, network, security, infrastructure staff and technical support</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Technical training covers system administrators, database administrators, network engineers, security engineers, infrastructure engineers and technical support staff. Inkript recommends 15 technical trainees against a minimum of nine, so that no technical role rests on one trained person, with stated prerequisites for each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3.2 and 3.4</w:t>
            </w:r>
          </w:p>
        </w:tc>
      </w:tr>
      <w:tr>
        <w:tc>
          <w:tcPr>
            <w:tcW w:type="dxa" w:w="2120"/>
            <w:tcMar>
              <w:top w:type="dxa" w:w="60"/>
              <w:left w:type="dxa" w:w="100"/>
              <w:bottom w:type="dxa" w:w="60"/>
              <w:right w:type="dxa" w:w="100"/>
            </w:tcMar>
          </w:tcPr>
          <w:p>
            <w:pPr>
              <w:spacing w:after="0" w:before="0"/>
            </w:pPr>
            <w:r>
              <w:rPr>
                <w:b/>
                <w:bCs/>
                <w:i w:val="false"/>
                <w:iCs w:val="false"/>
              </w:rPr>
              <w:t xml:space="preserve">2.2.2.1.2</w:t>
            </w:r>
            <w:r>
              <w:rPr>
                <w:b w:val="false"/>
                <w:bCs w:val="false"/>
                <w:i w:val="false"/>
                <w:iCs w:val="false"/>
              </w:rPr>
              <w:t xml:space="preserve"> Technical curriculum: architecture, hardware, software, database, network, security, APIs, troubleshooting, monitoring</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Modules cover system architecture, hardware administration, software administration, database administration, network and infrastructure, security administration including hardware security modules, integration and APIs, troubleshooting and support, and performance monitoring, plus backup, recovery and failover. The longest path, the system administrator's, is eight and a half days.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3.4</w:t>
            </w:r>
          </w:p>
        </w:tc>
      </w:tr>
      <w:tr>
        <w:tc>
          <w:tcPr>
            <w:tcW w:type="dxa" w:w="2120"/>
            <w:tcMar>
              <w:top w:type="dxa" w:w="60"/>
              <w:left w:type="dxa" w:w="100"/>
              <w:bottom w:type="dxa" w:w="60"/>
              <w:right w:type="dxa" w:w="100"/>
            </w:tcMar>
          </w:tcPr>
          <w:p>
            <w:pPr>
              <w:spacing w:after="0" w:before="0"/>
            </w:pPr>
            <w:r>
              <w:rPr>
                <w:b/>
                <w:bCs/>
                <w:i w:val="false"/>
                <w:iCs w:val="false"/>
              </w:rPr>
              <w:t xml:space="preserve">2.2.2.1.3 (1 of 3)</w:t>
            </w:r>
            <w:r>
              <w:rPr>
                <w:b w:val="false"/>
                <w:bCs w:val="false"/>
                <w:i w:val="false"/>
                <w:iCs w:val="false"/>
              </w:rPr>
              <w:t xml:space="preserve"> Mode of technical training, from advanced classroom to shadow support, with fault simulations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Modes are advanced classroom training, hands-on laboratory sessions, equipment training by the manufacturer's certified trainers, troubleshooting workshops, live administration sessions, shadow support during installation and commissioning, and knowledge transfer sessions. Faults such as a stopped service, an expiring certificate and a failing NRIS exchange are induced in the training environment.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3.1, 3.4 and 3.8</w:t>
            </w:r>
          </w:p>
        </w:tc>
      </w:tr>
      <w:tr>
        <w:tc>
          <w:tcPr>
            <w:tcW w:type="dxa" w:w="2120"/>
            <w:tcMar>
              <w:top w:type="dxa" w:w="60"/>
              <w:left w:type="dxa" w:w="100"/>
              <w:bottom w:type="dxa" w:w="60"/>
              <w:right w:type="dxa" w:w="100"/>
            </w:tcMar>
          </w:tcPr>
          <w:p>
            <w:pPr>
              <w:spacing w:after="0" w:before="0"/>
            </w:pPr>
            <w:r>
              <w:rPr>
                <w:b/>
                <w:bCs/>
                <w:i w:val="false"/>
                <w:iCs w:val="false"/>
              </w:rPr>
              <w:t xml:space="preserve">2.2.2.1.3 (2 of 3)</w:t>
            </w:r>
            <w:r>
              <w:rPr>
                <w:b w:val="false"/>
                <w:bCs w:val="false"/>
                <w:i w:val="false"/>
                <w:iCs w:val="false"/>
              </w:rPr>
              <w:t xml:space="preserve"> Technical training materials, from technical manuals to configuration backup templates, editable and PDF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Technical materials comprise technical manuals, administration guides, installation manuals, configuration guides, as-built documentation, network diagrams, troubleshooting manuals, maintenance procedures, laboratory exercise guides and configuration backup templates, delivered in editable electronic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3.4</w:t>
            </w:r>
          </w:p>
        </w:tc>
      </w:tr>
      <w:tr>
        <w:tc>
          <w:tcPr>
            <w:tcW w:type="dxa" w:w="2120"/>
            <w:tcMar>
              <w:top w:type="dxa" w:w="60"/>
              <w:left w:type="dxa" w:w="100"/>
              <w:bottom w:type="dxa" w:w="60"/>
              <w:right w:type="dxa" w:w="100"/>
            </w:tcMar>
          </w:tcPr>
          <w:p>
            <w:pPr>
              <w:spacing w:after="0" w:before="0"/>
            </w:pPr>
            <w:r>
              <w:rPr>
                <w:b/>
                <w:bCs/>
                <w:i w:val="false"/>
                <w:iCs w:val="false"/>
              </w:rPr>
              <w:t xml:space="preserve">2.2.2.1.3 (3 of 3)</w:t>
            </w:r>
            <w:r>
              <w:rPr>
                <w:b w:val="false"/>
                <w:bCs w:val="false"/>
                <w:i w:val="false"/>
                <w:iCs w:val="false"/>
              </w:rPr>
              <w:t xml:space="preserve"> Technical training location: on site, OEM-authorized centers, dedicated lab, production environment for critical staff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Technical classroom and laboratory sessions run on site in a dedicated training environment with the same software and versions as production, equipment training takes place at the manufacturer's facility during factory acceptance, and critical technical staff take live administration sessions on the production system.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3.4 and 3.6</w:t>
            </w:r>
          </w:p>
        </w:tc>
      </w:tr>
      <w:tr>
        <w:tc>
          <w:tcPr>
            <w:tcW w:type="dxa" w:w="2120"/>
            <w:tcMar>
              <w:top w:type="dxa" w:w="60"/>
              <w:left w:type="dxa" w:w="100"/>
              <w:bottom w:type="dxa" w:w="60"/>
              <w:right w:type="dxa" w:w="100"/>
            </w:tcMar>
          </w:tcPr>
          <w:p>
            <w:pPr>
              <w:spacing w:after="0" w:before="0"/>
            </w:pPr>
            <w:r>
              <w:rPr>
                <w:b/>
                <w:bCs/>
                <w:i w:val="false"/>
                <w:iCs w:val="false"/>
              </w:rPr>
              <w:t xml:space="preserve">2.2.3.1.1</w:t>
            </w:r>
            <w:r>
              <w:rPr>
                <w:b w:val="false"/>
                <w:bCs w:val="false"/>
                <w:i w:val="false"/>
                <w:iCs w:val="false"/>
              </w:rPr>
              <w:t xml:space="preserve"> Management training participants: executives, operations, ICT, security and facility managers, audit staff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Management training covers executive leadership, operations managers, ICT managers, security managers, facility managers, and audit and compliance personnel. Nine participants are recommended: two executives, two operations managers, one each from ICT, security and facility management, and two from audit and compliance.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3.2 and 3.5</w:t>
            </w:r>
          </w:p>
        </w:tc>
      </w:tr>
      <w:tr>
        <w:tc>
          <w:tcPr>
            <w:tcW w:type="dxa" w:w="2120"/>
            <w:tcMar>
              <w:top w:type="dxa" w:w="60"/>
              <w:left w:type="dxa" w:w="100"/>
              <w:bottom w:type="dxa" w:w="60"/>
              <w:right w:type="dxa" w:w="100"/>
            </w:tcMar>
          </w:tcPr>
          <w:p>
            <w:pPr>
              <w:spacing w:after="0" w:before="0"/>
            </w:pPr>
            <w:r>
              <w:rPr>
                <w:b/>
                <w:bCs/>
                <w:i w:val="false"/>
                <w:iCs w:val="false"/>
              </w:rPr>
              <w:t xml:space="preserve">2.2.3.1.2</w:t>
            </w:r>
            <w:r>
              <w:rPr>
                <w:b w:val="false"/>
                <w:bCs w:val="false"/>
                <w:i w:val="false"/>
                <w:iCs w:val="false"/>
              </w:rPr>
              <w:t xml:space="preserve"> Management curriculum: overview, governance, security, performance, continuity, maintenance and lifecycle, audit</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Modules cover solution overview, governance and operations, security and compliance including custody of the signing key, performance and reporting, business continuity, maintenance and lifecycle management including Document Signer certificate renewal, and audit and compliance including stock reconciliation and destruction certificates.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3.5</w:t>
            </w:r>
          </w:p>
        </w:tc>
      </w:tr>
      <w:tr>
        <w:tc>
          <w:tcPr>
            <w:tcW w:type="dxa" w:w="2120"/>
            <w:tcMar>
              <w:top w:type="dxa" w:w="60"/>
              <w:left w:type="dxa" w:w="100"/>
              <w:bottom w:type="dxa" w:w="60"/>
              <w:right w:type="dxa" w:w="100"/>
            </w:tcMar>
          </w:tcPr>
          <w:p>
            <w:pPr>
              <w:spacing w:after="0" w:before="0"/>
            </w:pPr>
            <w:r>
              <w:rPr>
                <w:b/>
                <w:bCs/>
                <w:i w:val="false"/>
                <w:iCs w:val="false"/>
              </w:rPr>
              <w:t xml:space="preserve">2.2.3.1.3 (1 of 3)</w:t>
            </w:r>
            <w:r>
              <w:rPr>
                <w:b w:val="false"/>
                <w:bCs w:val="false"/>
                <w:i w:val="false"/>
                <w:iCs w:val="false"/>
              </w:rPr>
              <w:t xml:space="preserve"> Mode of management training: executive briefings, workshops, strategy sessions, presentations, facilitated discussions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Management training is delivered as a half-day executive briefing and two days of workshops, strategy sessions, presentations and facilitated discussions for managers, focused on oversight, governance and sustainability rather than technical operation. Executive sessions may be held virtually where appropriate. [GAP: Preliminary Project Plan Section 3.5 names an executive briefing, workshops and facilitated sessions, but not strategy sessions or presentations. Add both to its Mode and duration paragraph.]</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3.5</w:t>
            </w:r>
          </w:p>
        </w:tc>
      </w:tr>
      <w:tr>
        <w:tc>
          <w:tcPr>
            <w:tcW w:type="dxa" w:w="2120"/>
            <w:tcMar>
              <w:top w:type="dxa" w:w="60"/>
              <w:left w:type="dxa" w:w="100"/>
              <w:bottom w:type="dxa" w:w="60"/>
              <w:right w:type="dxa" w:w="100"/>
            </w:tcMar>
          </w:tcPr>
          <w:p>
            <w:pPr>
              <w:spacing w:after="0" w:before="0"/>
            </w:pPr>
            <w:r>
              <w:rPr>
                <w:b/>
                <w:bCs/>
                <w:i w:val="false"/>
                <w:iCs w:val="false"/>
              </w:rPr>
              <w:t xml:space="preserve">2.2.3.1.3 (2 of 3)</w:t>
            </w:r>
            <w:r>
              <w:rPr>
                <w:b w:val="false"/>
                <w:bCs w:val="false"/>
                <w:i w:val="false"/>
                <w:iCs w:val="false"/>
              </w:rPr>
              <w:t xml:space="preserve"> Management training materials: briefings, governance manuals, dashboards, SLA templates, risk, continuity, strategy guides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Materials comprise executive briefing materials, governance manuals, operational dashboards, service level templates, risk management documentation, business continuity documentation and strategic operational guides. Dashboards are taught on the System's own production, quality and service level views.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3.5; System Architecture Section 6.11</w:t>
            </w:r>
          </w:p>
        </w:tc>
      </w:tr>
      <w:tr>
        <w:tc>
          <w:tcPr>
            <w:tcW w:type="dxa" w:w="2120"/>
            <w:tcMar>
              <w:top w:type="dxa" w:w="60"/>
              <w:left w:type="dxa" w:w="100"/>
              <w:bottom w:type="dxa" w:w="60"/>
              <w:right w:type="dxa" w:w="100"/>
            </w:tcMar>
          </w:tcPr>
          <w:p>
            <w:pPr>
              <w:spacing w:after="0" w:before="0"/>
            </w:pPr>
            <w:r>
              <w:rPr>
                <w:b/>
                <w:bCs/>
                <w:i w:val="false"/>
                <w:iCs w:val="false"/>
              </w:rPr>
              <w:t xml:space="preserve">2.2.3.1.3 (3 of 3)</w:t>
            </w:r>
            <w:r>
              <w:rPr>
                <w:b w:val="false"/>
                <w:bCs w:val="false"/>
                <w:i w:val="false"/>
                <w:iCs w:val="false"/>
              </w:rPr>
              <w:t xml:space="preserve"> Management training location: client headquarters, the facility or executive conference venues, virtual allowed</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Management training is held at NRB headquarters, on site at the Card Production Facility, or at executive conference facilities, and executive sessions are held virtually where appropriate. It is scheduled in week 26, ahead of operational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3.5 and 3.6</w:t>
            </w:r>
          </w:p>
        </w:tc>
      </w:tr>
    </w:tbl>
    <w:p>
      <w:pPr>
        <w:spacing w:after="140"/>
      </w:pPr>
    </w:p>
    <w:p>
      <w:pPr>
        <w:pStyle w:val="Heading2"/>
        <w:numPr>
          <w:ilvl w:val="1"/>
          <w:numId w:val="2"/>
        </w:numPr>
        <w:spacing w:after="140" w:before="260"/>
      </w:pPr>
      <w:r>
        <w:t xml:space="preserve">D</w:t>
      </w:r>
      <w:bookmarkStart w:name="sec_2_3" w:id="1"/>
      <w:r>
        <w:rPr>
          <w:b w:val="false"/>
          <w:bCs w:val="false"/>
          <w:i w:val="false"/>
          <w:iCs w:val="false"/>
        </w:rPr>
        <w:t xml:space="preserve">ocumentation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2.3.1.1 a)</w:t>
            </w:r>
            <w:r>
              <w:rPr>
                <w:b w:val="false"/>
                <w:bCs w:val="false"/>
                <w:i w:val="false"/>
                <w:iCs w:val="false"/>
              </w:rPr>
              <w:t xml:space="preserve"> User manuals: personalization software, issuance, mailing, quality assurance, workflow, reporting, system administration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User manuals for the card personalization software, card issuance, the mailing system, quality assurance and inspection, the card production workflow, reporting and dashboards, and system administration are delivered in week 24, before training. Each is versioned and approved under documentation control,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4.7</w:t>
            </w:r>
          </w:p>
        </w:tc>
      </w:tr>
      <w:tr>
        <w:tc>
          <w:tcPr>
            <w:tcW w:type="dxa" w:w="2000"/>
            <w:tcMar>
              <w:top w:type="dxa" w:w="60"/>
              <w:left w:type="dxa" w:w="100"/>
              <w:bottom w:type="dxa" w:w="60"/>
              <w:right w:type="dxa" w:w="100"/>
            </w:tcMar>
          </w:tcPr>
          <w:p>
            <w:pPr>
              <w:spacing w:after="0" w:before="0"/>
            </w:pPr>
            <w:r>
              <w:rPr>
                <w:b/>
                <w:bCs/>
                <w:i w:val="false"/>
                <w:iCs w:val="false"/>
              </w:rPr>
              <w:t xml:space="preserve">2.3.1.1 b)</w:t>
            </w:r>
            <w:r>
              <w:rPr>
                <w:b w:val="false"/>
                <w:bCs w:val="false"/>
                <w:i w:val="false"/>
                <w:iCs w:val="false"/>
              </w:rPr>
              <w:t xml:space="preserve"> SOPs for production, printing, verification, dispatch, consumables, start-up, batches, escalation, incidents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Standard Operating Procedures cover card production, card printing, quality verification, dispatch and mailing, consumables replacement, daily start-up and shut-down, batch processing, escalation and incident reporting. They are drafted in week 5, finalized in week 24, taught from in training and proven usable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Change Management Plan Section 6.2</w:t>
            </w:r>
          </w:p>
        </w:tc>
      </w:tr>
      <w:tr>
        <w:tc>
          <w:tcPr>
            <w:tcW w:type="dxa" w:w="2000"/>
            <w:tcMar>
              <w:top w:type="dxa" w:w="60"/>
              <w:left w:type="dxa" w:w="100"/>
              <w:bottom w:type="dxa" w:w="60"/>
              <w:right w:type="dxa" w:w="100"/>
            </w:tcMar>
          </w:tcPr>
          <w:p>
            <w:pPr>
              <w:spacing w:after="0" w:before="0"/>
            </w:pPr>
            <w:r>
              <w:rPr>
                <w:b/>
                <w:bCs/>
                <w:i w:val="false"/>
                <w:iCs w:val="false"/>
              </w:rPr>
              <w:t xml:space="preserve">2.3.1.1 c)</w:t>
            </w:r>
            <w:r>
              <w:rPr>
                <w:b w:val="false"/>
                <w:bCs w:val="false"/>
                <w:i w:val="false"/>
                <w:iCs w:val="false"/>
              </w:rPr>
              <w:t xml:space="preserve"> Training materials: manuals, presentations, exercises, quick references, lab manuals, registers, reports, videos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Training manuals, presentations, practical exercise guides, quick reference guides, laboratory manuals and videos are delivered in week 24. Attendance registers, training reports and the competence matrix are issued as each course completes, all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3.7</w:t>
            </w:r>
          </w:p>
        </w:tc>
      </w:tr>
      <w:tr>
        <w:tc>
          <w:tcPr>
            <w:tcW w:type="dxa" w:w="2000"/>
            <w:tcMar>
              <w:top w:type="dxa" w:w="60"/>
              <w:left w:type="dxa" w:w="100"/>
              <w:bottom w:type="dxa" w:w="60"/>
              <w:right w:type="dxa" w:w="100"/>
            </w:tcMar>
          </w:tcPr>
          <w:p>
            <w:pPr>
              <w:spacing w:after="0" w:before="0"/>
            </w:pPr>
            <w:r>
              <w:rPr>
                <w:b/>
                <w:bCs/>
                <w:i w:val="false"/>
                <w:iCs w:val="false"/>
              </w:rPr>
              <w:t xml:space="preserve">2.3.1.1 d)</w:t>
            </w:r>
            <w:r>
              <w:rPr>
                <w:b w:val="false"/>
                <w:bCs w:val="false"/>
                <w:i w:val="false"/>
                <w:iCs w:val="false"/>
              </w:rPr>
              <w:t xml:space="preserve"> Checklists: daily operations, preventive maintenance, facility inspection, backup verification, environmental monitoring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Daily operational, preventive maintenance, backup verification and environmental monitoring checklists are delivered in week 24, with a facility inspection checklist provided alongside them. Each is approved under documentation control and supplied in editable format and PDF. [GAP: The facility inspection checklist is not listed in Preliminary Project Plan Section 2.10. Add it to the Operational and maintenance checklists row, or confirm it is delivered under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4.7</w:t>
            </w:r>
          </w:p>
        </w:tc>
      </w:tr>
      <w:tr>
        <w:tc>
          <w:tcPr>
            <w:tcW w:type="dxa" w:w="2000"/>
            <w:tcMar>
              <w:top w:type="dxa" w:w="60"/>
              <w:left w:type="dxa" w:w="100"/>
              <w:bottom w:type="dxa" w:w="60"/>
              <w:right w:type="dxa" w:w="100"/>
            </w:tcMar>
          </w:tcPr>
          <w:p>
            <w:pPr>
              <w:spacing w:after="0" w:before="0"/>
            </w:pPr>
            <w:r>
              <w:rPr>
                <w:b/>
                <w:bCs/>
                <w:i w:val="false"/>
                <w:iCs w:val="false"/>
              </w:rPr>
              <w:t xml:space="preserve">2.3.1.1 e)</w:t>
            </w:r>
            <w:r>
              <w:rPr>
                <w:b w:val="false"/>
                <w:bCs w:val="false"/>
                <w:i w:val="false"/>
                <w:iCs w:val="false"/>
              </w:rPr>
              <w:t xml:space="preserve"> Business continuity and DR procedures: recovery, restoration, failover, emergency contacts, downtime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Recovery, backup restoration and failover procedures, emergency contacts and downtime management are delivered in week 19 and corrected after every test. Recovery procedures are written for manual as well as automated execution and are exercised in pre-commissioning, operational acceptance and annual disaster recovery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Cybersecurity Risk Management Plan Section 8.2; System Architecture Sections 9.3 and 12.3</w:t>
            </w:r>
          </w:p>
        </w:tc>
      </w:tr>
      <w:tr>
        <w:tc>
          <w:tcPr>
            <w:tcW w:type="dxa" w:w="2000"/>
            <w:tcMar>
              <w:top w:type="dxa" w:w="60"/>
              <w:left w:type="dxa" w:w="100"/>
              <w:bottom w:type="dxa" w:w="60"/>
              <w:right w:type="dxa" w:w="100"/>
            </w:tcMar>
          </w:tcPr>
          <w:p>
            <w:pPr>
              <w:spacing w:after="0" w:before="0"/>
            </w:pPr>
            <w:r>
              <w:rPr>
                <w:b/>
                <w:bCs/>
                <w:i w:val="false"/>
                <w:iCs w:val="false"/>
              </w:rPr>
              <w:t xml:space="preserve">2.3.1.1 f)</w:t>
            </w:r>
            <w:r>
              <w:rPr>
                <w:b w:val="false"/>
                <w:bCs w:val="false"/>
                <w:i w:val="false"/>
                <w:iCs w:val="false"/>
              </w:rPr>
              <w:t xml:space="preserve"> Warranty certificates, support escalation matrix, SLA documents and OEM support contacts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Warranty certificates, the support escalation matrix, the service level documents and the equipment manufacturer's support contacts are delivered at Operational Acceptance in week 30, covering the three-year warranty and the service levels and performance indicators of the support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5.1 and 5.6; System Architecture Section 12.4</w:t>
            </w:r>
          </w:p>
        </w:tc>
      </w:tr>
      <w:tr>
        <w:tc>
          <w:tcPr>
            <w:tcW w:type="dxa" w:w="2000"/>
            <w:tcMar>
              <w:top w:type="dxa" w:w="60"/>
              <w:left w:type="dxa" w:w="100"/>
              <w:bottom w:type="dxa" w:w="60"/>
              <w:right w:type="dxa" w:w="100"/>
            </w:tcMar>
          </w:tcPr>
          <w:p>
            <w:pPr>
              <w:spacing w:after="0" w:before="0"/>
            </w:pPr>
            <w:r>
              <w:rPr>
                <w:b/>
                <w:bCs/>
                <w:i w:val="false"/>
                <w:iCs w:val="false"/>
              </w:rPr>
              <w:t xml:space="preserve">2.3.1.1 g)</w:t>
            </w:r>
            <w:r>
              <w:rPr>
                <w:b w:val="false"/>
                <w:bCs w:val="false"/>
                <w:i w:val="false"/>
                <w:iCs w:val="false"/>
              </w:rPr>
              <w:t xml:space="preserve"> Asset documentation: equipment inventory, serial number records, asset tagging schedule, software license inventory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equipment inventory register, serial number records, asset tagging schedule and software license inventory are delivered in week 30. The license inventory classifies every software title and maps each entitlement to the components it serves, consistent with the Licensing Bill of Materials.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 6.14</w:t>
            </w:r>
          </w:p>
        </w:tc>
      </w:tr>
      <w:tr>
        <w:tc>
          <w:tcPr>
            <w:tcW w:type="dxa" w:w="2000"/>
            <w:tcMar>
              <w:top w:type="dxa" w:w="60"/>
              <w:left w:type="dxa" w:w="100"/>
              <w:bottom w:type="dxa" w:w="60"/>
              <w:right w:type="dxa" w:w="100"/>
            </w:tcMar>
          </w:tcPr>
          <w:p>
            <w:pPr>
              <w:spacing w:after="0" w:before="0"/>
            </w:pPr>
            <w:r>
              <w:rPr>
                <w:b/>
                <w:bCs/>
                <w:i w:val="false"/>
                <w:iCs w:val="false"/>
              </w:rPr>
              <w:t xml:space="preserve">2.3.1.2 a)</w:t>
            </w:r>
            <w:r>
              <w:rPr>
                <w:b w:val="false"/>
                <w:bCs w:val="false"/>
                <w:i w:val="false"/>
                <w:iCs w:val="false"/>
              </w:rPr>
              <w:t xml:space="preserve"> System design documents: architecture, design, network, data flow, layouts, racks, floor plans, power and cooling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High-Level Design gives the solution architecture, network architecture and data flow diagrams, and the Low-Level Design the detailed system design and rack elevations, approved in week 6. The ICT Site Preparation Guide sets the server room layout, power per position and heat load. Facility floor plans and the power and cooling design follow under the facility works. [GAP: Physical layout drawings, facility floor plans and the power and cooling design are not named as deliverables in Preliminary Project Plan Section 2.10, including its facility works paragraph. Add them there. The Purchaser's ground floor plan, provided by the Buildings Department as stated in the Responses to Queries 003, is the base.]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2.4 and 2.10; System Architecture Sections 9.5 and 13.1</w:t>
            </w:r>
          </w:p>
        </w:tc>
      </w:tr>
      <w:tr>
        <w:tc>
          <w:tcPr>
            <w:tcW w:type="dxa" w:w="2000"/>
            <w:tcMar>
              <w:top w:type="dxa" w:w="60"/>
              <w:left w:type="dxa" w:w="100"/>
              <w:bottom w:type="dxa" w:w="60"/>
              <w:right w:type="dxa" w:w="100"/>
            </w:tcMar>
          </w:tcPr>
          <w:p>
            <w:pPr>
              <w:spacing w:after="0" w:before="0"/>
            </w:pPr>
            <w:r>
              <w:rPr>
                <w:b/>
                <w:bCs/>
                <w:i w:val="false"/>
                <w:iCs w:val="false"/>
              </w:rPr>
              <w:t xml:space="preserve">2.3.1.2 b)</w:t>
            </w:r>
            <w:r>
              <w:rPr>
                <w:b w:val="false"/>
                <w:bCs w:val="false"/>
                <w:i w:val="false"/>
                <w:iCs w:val="false"/>
              </w:rPr>
              <w:t xml:space="preserve"> Installation and configuration documents: guides, manuals, parameters, firmware, IP, VLAN, firewall, database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Hardware and software installation guides and configuration manuals are delivered with installation in weeks 15 to 23. Parameter configuration sheets, firmware versions, the IP addressing scheme and VLAN, firewall and database configuration are set out in the Low-Level Design, and all configuration is version-controlled centrally.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 12.1</w:t>
            </w:r>
          </w:p>
        </w:tc>
      </w:tr>
      <w:tr>
        <w:tc>
          <w:tcPr>
            <w:tcW w:type="dxa" w:w="2000"/>
            <w:tcMar>
              <w:top w:type="dxa" w:w="60"/>
              <w:left w:type="dxa" w:w="100"/>
              <w:bottom w:type="dxa" w:w="60"/>
              <w:right w:type="dxa" w:w="100"/>
            </w:tcMar>
          </w:tcPr>
          <w:p>
            <w:pPr>
              <w:spacing w:after="0" w:before="0"/>
            </w:pPr>
            <w:r>
              <w:rPr>
                <w:b/>
                <w:bCs/>
                <w:i w:val="false"/>
                <w:iCs w:val="false"/>
              </w:rPr>
              <w:t xml:space="preserve">2.3.1.2 c)</w:t>
            </w:r>
            <w:r>
              <w:rPr>
                <w:b w:val="false"/>
                <w:bCs w:val="false"/>
                <w:i w:val="false"/>
                <w:iCs w:val="false"/>
              </w:rPr>
              <w:t xml:space="preserve"> As-built documentation: architecture, network topology, equipment placement, design deviations, configuration baselines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As-built architecture diagrams, the final network topology, final equipment placement, deviations from the approved design and final configuration baselines are delivered from week 27 and finalized in week 32, recording the system as deployed at handover rather than as designed.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4.7; System Architecture Section 7.17</w:t>
            </w:r>
          </w:p>
        </w:tc>
      </w:tr>
      <w:tr>
        <w:tc>
          <w:tcPr>
            <w:tcW w:type="dxa" w:w="2000"/>
            <w:tcMar>
              <w:top w:type="dxa" w:w="60"/>
              <w:left w:type="dxa" w:w="100"/>
              <w:bottom w:type="dxa" w:w="60"/>
              <w:right w:type="dxa" w:w="100"/>
            </w:tcMar>
          </w:tcPr>
          <w:p>
            <w:pPr>
              <w:spacing w:after="0" w:before="0"/>
            </w:pPr>
            <w:r>
              <w:rPr>
                <w:b/>
                <w:bCs/>
                <w:i w:val="false"/>
                <w:iCs w:val="false"/>
              </w:rPr>
              <w:t xml:space="preserve">2.3.1.2 d)</w:t>
            </w:r>
            <w:r>
              <w:rPr>
                <w:b w:val="false"/>
                <w:bCs w:val="false"/>
                <w:i w:val="false"/>
                <w:iCs w:val="false"/>
              </w:rPr>
              <w:t xml:space="preserve"> Integration documentation: API, ICDs, architecture, middleware, third-party procedures, data exchange, web services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API Specifications, Interface Control Documents, the Detailed Integration Architecture and data mapping documents are issued in week 5, the Interface Control Documents defining each data exchange and web service. As-built documentation covers API, web services and middleware configuration, and third-party procedures cover the courier or postal interface. [GAP: Third-party integration procedures are not named in Preliminary Project Plan Section 2.10. Add them to the Integration documentation row, covering the courier or postal operator and Government PKI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Sections 7.2, 7.17 and 8.6</w:t>
            </w:r>
          </w:p>
        </w:tc>
      </w:tr>
      <w:tr>
        <w:tc>
          <w:tcPr>
            <w:tcW w:type="dxa" w:w="2000"/>
            <w:tcMar>
              <w:top w:type="dxa" w:w="60"/>
              <w:left w:type="dxa" w:w="100"/>
              <w:bottom w:type="dxa" w:w="60"/>
              <w:right w:type="dxa" w:w="100"/>
            </w:tcMar>
          </w:tcPr>
          <w:p>
            <w:pPr>
              <w:spacing w:after="0" w:before="0"/>
            </w:pPr>
            <w:r>
              <w:rPr>
                <w:b/>
                <w:bCs/>
                <w:i w:val="false"/>
                <w:iCs w:val="false"/>
              </w:rPr>
              <w:t xml:space="preserve">2.3.1.2 e)</w:t>
            </w:r>
            <w:r>
              <w:rPr>
                <w:b w:val="false"/>
                <w:bCs w:val="false"/>
                <w:i w:val="false"/>
                <w:iCs w:val="false"/>
              </w:rPr>
              <w:t xml:space="preserve"> Security documentation: architecture, access and roles matrices, key management, PKI, audit logging, hardening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security architecture, access control matrix, user roles and permissions matrix, encryption key management and PKI procedures, audit logging configuration and cybersecurity hardening guide are delivered in weeks 5 to 17, and as-built security documentation is handed over with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Cybersecurity Risk Management Plan Sections 6.3 and 9.1</w:t>
            </w:r>
          </w:p>
        </w:tc>
      </w:tr>
      <w:tr>
        <w:tc>
          <w:tcPr>
            <w:tcW w:type="dxa" w:w="2000"/>
            <w:tcMar>
              <w:top w:type="dxa" w:w="60"/>
              <w:left w:type="dxa" w:w="100"/>
              <w:bottom w:type="dxa" w:w="60"/>
              <w:right w:type="dxa" w:w="100"/>
            </w:tcMar>
          </w:tcPr>
          <w:p>
            <w:pPr>
              <w:spacing w:after="0" w:before="0"/>
            </w:pPr>
            <w:r>
              <w:rPr>
                <w:b/>
                <w:bCs/>
                <w:i w:val="false"/>
                <w:iCs w:val="false"/>
              </w:rPr>
              <w:t xml:space="preserve">2.3.1.2 f)</w:t>
            </w:r>
            <w:r>
              <w:rPr>
                <w:b w:val="false"/>
                <w:bCs w:val="false"/>
                <w:i w:val="false"/>
                <w:iCs w:val="false"/>
              </w:rPr>
              <w:t xml:space="preserve"> Database documentation: schema, data dictionary, backup and restore, replication, archiving, retention policies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database schema, data dictionary, backup and restore, replication and archiving procedures, and data retention policies are delivered in weeks 5 to 17. Retention is enforced by platform policy rather than operator action, and archived audit data remains queryable.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Sections 11.4 and 12.3</w:t>
            </w:r>
          </w:p>
        </w:tc>
      </w:tr>
      <w:tr>
        <w:tc>
          <w:tcPr>
            <w:tcW w:type="dxa" w:w="2000"/>
            <w:tcMar>
              <w:top w:type="dxa" w:w="60"/>
              <w:left w:type="dxa" w:w="100"/>
              <w:bottom w:type="dxa" w:w="60"/>
              <w:right w:type="dxa" w:w="100"/>
            </w:tcMar>
          </w:tcPr>
          <w:p>
            <w:pPr>
              <w:spacing w:after="0" w:before="0"/>
            </w:pPr>
            <w:r>
              <w:rPr>
                <w:b/>
                <w:bCs/>
                <w:i w:val="false"/>
                <w:iCs w:val="false"/>
              </w:rPr>
              <w:t xml:space="preserve">2.3.1.2 g)</w:t>
            </w:r>
            <w:r>
              <w:rPr>
                <w:b w:val="false"/>
                <w:bCs w:val="false"/>
                <w:i w:val="false"/>
                <w:iCs w:val="false"/>
              </w:rPr>
              <w:t xml:space="preserve"> Testing documentation: FAT, SAT, UAT reports, scripts, performance, stress, security reports, defect logs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Factory, site and user acceptance test reports, test scripts and results, performance, stress and security test reports, and defect logs with their resolutions are issued as each test completes, in weeks 17 to 30. Every requirement is traced to a test, and each test level closes on an approved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4.1 and 4.7</w:t>
            </w:r>
          </w:p>
        </w:tc>
      </w:tr>
      <w:tr>
        <w:tc>
          <w:tcPr>
            <w:tcW w:type="dxa" w:w="2000"/>
            <w:tcMar>
              <w:top w:type="dxa" w:w="60"/>
              <w:left w:type="dxa" w:w="100"/>
              <w:bottom w:type="dxa" w:w="60"/>
              <w:right w:type="dxa" w:w="100"/>
            </w:tcMar>
          </w:tcPr>
          <w:p>
            <w:pPr>
              <w:spacing w:after="0" w:before="0"/>
            </w:pPr>
            <w:r>
              <w:rPr>
                <w:b/>
                <w:bCs/>
                <w:i w:val="false"/>
                <w:iCs w:val="false"/>
              </w:rPr>
              <w:t xml:space="preserve">2.3.1.2 h)</w:t>
            </w:r>
            <w:r>
              <w:rPr>
                <w:b w:val="false"/>
                <w:bCs w:val="false"/>
                <w:i w:val="false"/>
                <w:iCs w:val="false"/>
              </w:rPr>
              <w:t xml:space="preserve"> Maintenance documentation: preventive maintenance, troubleshooting, diagnostics, spare parts, OEM manuals, recovery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Manufacturers' operation, technical, preventive maintenance and spare parts manuals are delivered with the equipment. Operation and maintenance manuals, with troubleshooting guides and diagnostic and system recovery procedures, follow in week 24 and are finalized in week 30. A Critical Spare Parts List is submitted for approval before 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Sections 12.2 and 12.5</w:t>
            </w:r>
          </w:p>
        </w:tc>
      </w:tr>
      <w:tr>
        <w:tc>
          <w:tcPr>
            <w:tcW w:type="dxa" w:w="2000"/>
            <w:tcMar>
              <w:top w:type="dxa" w:w="60"/>
              <w:left w:type="dxa" w:w="100"/>
              <w:bottom w:type="dxa" w:w="60"/>
              <w:right w:type="dxa" w:w="100"/>
            </w:tcMar>
          </w:tcPr>
          <w:p>
            <w:pPr>
              <w:spacing w:after="0" w:before="0"/>
            </w:pPr>
            <w:r>
              <w:rPr>
                <w:b/>
                <w:bCs/>
                <w:i w:val="false"/>
                <w:iCs w:val="false"/>
              </w:rPr>
              <w:t xml:space="preserve">2.3.1.2 i)</w:t>
            </w:r>
            <w:r>
              <w:rPr>
                <w:b w:val="false"/>
                <w:bCs w:val="false"/>
                <w:i w:val="false"/>
                <w:iCs w:val="false"/>
              </w:rPr>
              <w:t xml:space="preserve"> Facility documentation: electrical, UPS, generator, HVAC, fire, access control, CCTV, cabling, raised floor, monitoring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Electrical drawings, UPS configuration, generator integration, HVAC, fire suppression, access control, CCTV, structured cabling, raised floor and environmental monitoring documentation are delivered under the facility works of the turnkey contract. Environmental, power and UPS sensors installed under those works feed the System's monitoring and alerting. [GAP: Preliminary Project Plan Section 2.10 places facility documentation under the facility works and omits environmental monitoring setup. No proposal document commits to the ten items. The facility works documentation list, prepared with the rehabilitation subcontractor, must name all ten.]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 9.5</w:t>
            </w:r>
          </w:p>
        </w:tc>
      </w:tr>
      <w:tr>
        <w:tc>
          <w:tcPr>
            <w:tcW w:type="dxa" w:w="2000"/>
            <w:tcMar>
              <w:top w:type="dxa" w:w="60"/>
              <w:left w:type="dxa" w:w="100"/>
              <w:bottom w:type="dxa" w:w="60"/>
              <w:right w:type="dxa" w:w="100"/>
            </w:tcMar>
          </w:tcPr>
          <w:p>
            <w:pPr>
              <w:spacing w:after="0" w:before="0"/>
            </w:pPr>
            <w:r>
              <w:rPr>
                <w:b/>
                <w:bCs/>
                <w:i w:val="false"/>
                <w:iCs w:val="false"/>
              </w:rPr>
              <w:t xml:space="preserve">2.3.1.2 j)</w:t>
            </w:r>
            <w:r>
              <w:rPr>
                <w:b w:val="false"/>
                <w:bCs w:val="false"/>
                <w:i w:val="false"/>
                <w:iCs w:val="false"/>
              </w:rPr>
              <w:t xml:space="preserve"> Compliance documentation: OEM certifications, compliance certificates, ISO documents, security reports, regulatory approvals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Manufacturer certifications, compliance certificates, ISO compliance documentation and security compliance reports are delivered in week 30, with copies of the structural and electrical design approvals that NRB coordinates with the Buildings Department. Inkript's ISO/IEC 27001 certificate, the card manufacturer's ISO certificates and the hardware security modules' FIPS 140 certificates are attached. [GAP: Regulatory approvals are not listed in Preliminary Project Plan Section 2.10. Add them to the Compliance and certification documentation row.]</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 13.1; Cybersecurity Risk Management Plan Section 11.3; Attachment: ISO/IEC 27001 certificate; Attachment: Card manufacturer ISO 9001, ISO 27001 and ISO 14001 certificates</w:t>
            </w:r>
          </w:p>
        </w:tc>
      </w:tr>
    </w:tbl>
    <w:p>
      <w:pPr>
        <w:spacing w:after="140"/>
      </w:pPr>
    </w:p>
    <w:p>
      <w:pPr>
        <w:pStyle w:val="Heading2"/>
        <w:numPr>
          <w:ilvl w:val="1"/>
          <w:numId w:val="2"/>
        </w:numPr>
        <w:spacing w:after="140" w:before="260"/>
      </w:pPr>
      <w:r>
        <w:t xml:space="preserve">R</w:t>
      </w:r>
      <w:bookmarkStart w:name="sec_2_4"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0"/>
        <w:gridCol w:w="2000"/>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2.4.1.1</w:t>
            </w:r>
            <w:r>
              <w:rPr>
                <w:b w:val="false"/>
                <w:bCs w:val="false"/>
                <w:i w:val="false"/>
                <w:iCs w:val="false"/>
              </w:rPr>
              <w:t xml:space="preserve"> Project Team Leader: relevant degree, 10 years, two national-scale identity or card personalization projects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Inkript assigns a Project Team Leader with a degree in a listed field and at least 10 years on large-scale ICT projects in national ID, secure documents or mission-critical infrastructure, including at least two national-scale identity or card personalization projects delivered through multi-vendor, standards-based integration. The CV and certificates are attached. [GAP: No cited document names the Project Team Leader or states the qualifications. The CV, the Candidate Summary form and the Project Organization and Management Sub-Plan must evidence them. A Master's degree and PMP, PRINCE2 Practitioner or PMI-ACP certification add value.]</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2.4.1.2</w:t>
            </w:r>
            <w:r>
              <w:rPr>
                <w:b w:val="false"/>
                <w:bCs w:val="false"/>
                <w:i w:val="false"/>
                <w:iCs w:val="false"/>
              </w:rPr>
              <w:t xml:space="preserve"> Architect/Structural Engineer: degree, five years in card facilities or data centers, rehabilitation design lead</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Architect/Structural Engineer, fielded by the CIRA-registered rehabilitation subcontractor as Addendum No. 2 provides, holds an architecture or structural engineering degree, relevant certifications and at least five years designing card printing facilities, data centers or IT works. The engineer assesses the existing facility, leads the room rehabilitation and draws the turnkey implementation plan to international standards. [GAP: No proposal document names this role, and the rehabilitation subcontractor's CVs are not yet in hand. Confirm the nominee with the subcontractor and evidence through the CV and certificates. The facility works plan should state the assessment, rehabilitation and implementation plan duties, including compatibility with international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 Attachment: CIRA registration certificate</w:t>
            </w:r>
          </w:p>
        </w:tc>
      </w:tr>
      <w:tr>
        <w:tc>
          <w:tcPr>
            <w:tcW w:type="dxa" w:w="2550"/>
            <w:tcMar>
              <w:top w:type="dxa" w:w="60"/>
              <w:left w:type="dxa" w:w="100"/>
              <w:bottom w:type="dxa" w:w="60"/>
              <w:right w:type="dxa" w:w="100"/>
            </w:tcMar>
          </w:tcPr>
          <w:p>
            <w:pPr>
              <w:spacing w:after="0" w:before="0"/>
            </w:pPr>
            <w:r>
              <w:rPr>
                <w:b/>
                <w:bCs/>
                <w:i w:val="false"/>
                <w:iCs w:val="false"/>
              </w:rPr>
              <w:t xml:space="preserve">2.4.1.3</w:t>
            </w:r>
            <w:r>
              <w:rPr>
                <w:b w:val="false"/>
                <w:bCs w:val="false"/>
                <w:i w:val="false"/>
                <w:iCs w:val="false"/>
              </w:rPr>
              <w:t xml:space="preserve"> Solution Architect: Bachelor's, five years architecture and integration, TOGAF and solutions architecture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Solution Architect leads security architecture and design, assesses the impact of technical changes and sits on the change board as Supplier technical lead. The nominee holds a Bachelor's degree in a listed field, at least five years in solution architecture, systems integration, interoperability and technical assurance, and TOGAF and solutions architecture certification. [CONFIRM: Cybersecurity Risk Management Plan Section 9.3 states only that the role meets the clause 2.4 qualifications. No document states the degree, years or certifications. Confirm against the nominee's CV, including OEM solution certifications where possible.]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9.3; Change Management Plan Sections 3.1 and 6.1;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2.4.1.4</w:t>
            </w:r>
            <w:r>
              <w:rPr>
                <w:b w:val="false"/>
                <w:bCs w:val="false"/>
                <w:i w:val="false"/>
                <w:iCs w:val="false"/>
              </w:rPr>
              <w:t xml:space="preserve"> Secure Personalization System Engineer: Bachelor's, five years polycarbonate personalization, OEM-certified on proposed system</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Secure Personalization System Engineer holds a Bachelor's degree in computer, electronics or mechatronics engineering, at least five years on large-scale polycarbonate card personalization, laser engraving and security feature implementation, and the manufacturer's certification on the personalization system supplied, and secures the equipment control systems with the manufacturer. [CONFIRM: The OEM certificate for the named engineer must be obtained from the equipment manufacturer. Preliminary Project Plan Section 3.8 does not state security feature implementation, and the clause still names chip encoding although the Response to Clarifications 001 confirms chipless cards. Confirm the CV shows both.]</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Cybersecurity Risk Management Plan Section 9.3; Attachment: OEM certification for the Secure Personalization System Engineer;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2.4.1.5</w:t>
            </w:r>
            <w:r>
              <w:rPr>
                <w:b w:val="false"/>
                <w:bCs w:val="false"/>
                <w:i w:val="false"/>
                <w:iCs w:val="false"/>
              </w:rPr>
              <w:t xml:space="preserve"> Card Mailing System Engineer: Bachelor's, five years ID card mailing integrated with personalization and ID systems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Mailing System Engineer holds a Bachelor's degree in IT, computer, electronics or mechatronics engineering and at least five years on ID card mailing and dispatch systems, delivers mailing operations training, and handles equipment and procedure changes on the mailing lines with the manufacturer. [CONFIRM: Confirm the CV shows mailing systems integrated with personalization and national ID systems, and high-volume print, mailing and dispatch experience, which Preliminary Project Plan Section 3.8 does not state.]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Change Management Plan Section 6.1;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2.4.1.6</w:t>
            </w:r>
            <w:r>
              <w:rPr>
                <w:b w:val="false"/>
                <w:bCs w:val="false"/>
                <w:i w:val="false"/>
                <w:iCs w:val="false"/>
              </w:rPr>
              <w:t xml:space="preserve"> Cybersecurity and PKI Specialist: relevant degree, seven years cybersecurity, three in identity or PKI</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at least seven years in cybersecurity including three in identity management or PKI, CISSP, CISM and CEH, and experience with hardware security modules, encryption and certificates, and leads governance, key management and incident response. [CONFIRM: Attach the CV and the CISSP, CISM and CEH certificates as Cybersecurity Risk Management Plan Section 11.3 states, and confirm experience with access control systems, which the clause lists.]</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9.3 and 11.3; Preliminary Project Plan Section 3.8;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2.4.1.7</w:t>
            </w:r>
            <w:r>
              <w:rPr>
                <w:b w:val="false"/>
                <w:bCs w:val="false"/>
                <w:i w:val="false"/>
                <w:iCs w:val="false"/>
              </w:rPr>
              <w:t xml:space="preserve"> ID Card Security Specialist: degree or diploma, ACE-M and PKI certifications, five years multilayer polycarbonate security</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and delivers quality assurance and security feature inspection training and post-acceptance technical assistance. [CONFIRM: Confirm the CV covers encryption systems, covert and forensic security, and tactile and laser-Braille elements, which Preliminary Project Plan Section 3.8 does not state.]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System Architecture Section 12.4;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2.4.1.8</w:t>
            </w:r>
            <w:r>
              <w:rPr>
                <w:b w:val="false"/>
                <w:bCs w:val="false"/>
                <w:i w:val="false"/>
                <w:iCs w:val="false"/>
              </w:rPr>
              <w:t xml:space="preserve"> Software Integration Specialist: relevant degree, API, middleware and web services certifications, five years integration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Software Integration Specialist holds a degree in computer science, software engineering or information systems, certifications in APIs, middleware and web services, and at least five years in enterprise systems integration, and is responsible for the NRIS interface, secure development, interface security and software releases. [CONFIRM: Confirm the CV includes government system integration certification or experience, which the clause lists and Preliminary Project Plan Section 3.8 omits.]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Cybersecurity Risk Management Plan Section 9.3; Change Management Plan Section 6.1;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2.4.1.9</w:t>
            </w:r>
            <w:r>
              <w:rPr>
                <w:b w:val="false"/>
                <w:bCs w:val="false"/>
                <w:i w:val="false"/>
                <w:iCs w:val="false"/>
              </w:rPr>
              <w:t xml:space="preserve"> Network Engineer: degree or diploma, CCNA and CCNP, five years VLANs, firewalls, secure government networks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and leads network zones, firewalls and intrusion prevention through design and installation. [CONFIRM: Confirm the CV shows network redundancy experience, which the clause lists. Fortinet or Palo Alto certification adds value.]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9.3; Preliminary Project Plan Section 3.8;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2.4.1.10</w:t>
            </w:r>
            <w:r>
              <w:rPr>
                <w:b w:val="false"/>
                <w:bCs w:val="false"/>
                <w:i w:val="false"/>
                <w:iCs w:val="false"/>
              </w:rPr>
              <w:t xml:space="preserve"> Facilities/Electrical Engineer: relevant degree, seven years critical infrastructure, UPS, HVAC, generators, fire suppression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Facilities and Electrical Engineer holds a degree in electrical, mechanical or building services engineering, at least seven years in critical infrastructure or industrial setup, and experience with UPS, HVAC, generators, fire suppression and secure facilities, covering the facility power, environmental and fire systems and post-acceptance technical assistance. [GAP: The role is named only in System Architecture Section 12.4, for post-acceptance assistance. No cited document states its qualifications or its assignment during supply and installation. Evidence through the CV and the facility works staffing, and confirm whether the rehabilitation subcontractor fields the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9.5 and 12.4;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2.4.1.11</w:t>
            </w:r>
            <w:r>
              <w:rPr>
                <w:b w:val="false"/>
                <w:bCs w:val="false"/>
                <w:i w:val="false"/>
                <w:iCs w:val="false"/>
              </w:rPr>
              <w:t xml:space="preserve"> Training and Change Management Specialist: relevant degree, trainer and change certifications, five years government training</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Training and Change Management Specialist holds a degree in ICT, education or human resource development, trainer and change management certifications, Prosci preferred, and at least five years delivering ICT training to government staff, operators and administrators, and leads the training program and change management from week 1 to week 32. [CONFIRM: Confirm the trainer and change management certificates, Prosci where held, are attached with the Key Personnel forms.]</w:t>
            </w:r>
          </w:p>
        </w:tc>
        <w:tc>
          <w:tcPr>
            <w:tcW w:type="dxa" w:w="2000"/>
            <w:tcMar>
              <w:top w:type="dxa" w:w="60"/>
              <w:left w:type="dxa" w:w="100"/>
              <w:bottom w:type="dxa" w:w="60"/>
              <w:right w:type="dxa" w:w="100"/>
            </w:tcMar>
          </w:tcPr>
          <w:p>
            <w:pPr>
              <w:spacing w:after="0" w:before="0"/>
            </w:pPr>
            <w:r>
              <w:rPr>
                <w:b w:val="false"/>
                <w:bCs w:val="false"/>
                <w:i w:val="false"/>
                <w:iCs w:val="false"/>
              </w:rPr>
              <w:t xml:space="preserve">Change Management Plan Section 6.1; Preliminary Project Plan Section 3.8;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2.4.1.12</w:t>
            </w:r>
            <w:r>
              <w:rPr>
                <w:b w:val="false"/>
                <w:bCs w:val="false"/>
                <w:i w:val="false"/>
                <w:iCs w:val="false"/>
              </w:rPr>
              <w:t xml:space="preserve"> HSE Officer: OHS or environmental diploma or degree, three years project safety, NEBOSH or OSHA</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Inkript assigns a Health, Safety and Environment Officer holding a diploma or degree in occupational health and safety or environmental management, with at least three years in infrastructure or industrial project safety management and NEBOSH or OSHA certification, for the supply and installation period. [GAP: No cited document names the HSE Officer. Evidence through the CV and the Occupational Health and Safety Plan, and confirm whether the rehabilitation subcontractor fields the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2.4.1.13</w:t>
            </w:r>
            <w:r>
              <w:rPr>
                <w:b w:val="false"/>
                <w:bCs w:val="false"/>
                <w:i w:val="false"/>
                <w:iCs w:val="false"/>
              </w:rPr>
              <w:t xml:space="preserve"> QA and Testing Specialist: relevant degree, five years enterprise ICT testing, ISTQB, FAT, SAT and UAT experience</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Quality Assurance and Testing Specialist holds a degree in computer science, engineering or quality management, at least five years in enterprise ICT testing and ISTQB certification, with FAT, SAT, UAT, performance and security testing experience, and leads the security test program and requirement-to-test traceability. [CONFIRM: Cybersecurity Risk Management Plan Section 9.3 names the role and states only that it meets the clause 2.4 qualifications. Confirm the degree, years, ISTQB and test experience against the CV. ISO 9001 Lead Auditor certification adds value.]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9.1 and 9.3;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2.4.1.14</w:t>
            </w:r>
            <w:r>
              <w:rPr>
                <w:b w:val="false"/>
                <w:bCs w:val="false"/>
                <w:i w:val="false"/>
                <w:iCs w:val="false"/>
              </w:rPr>
              <w:t xml:space="preserve"> CPF Infrastructure Engineer: relevant degree, five years data center and HA systems, CCNA or CCNP, OEM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and at least five years in data center and high availability systems, and is responsible for the hardened platform, clusters, storage, secondary environment, backup and recovery. [CONFIRM: Confirm the CV shows hardware and software integration experience, and design and support of the personalization, mailing and NRIS-integrated ICT environment, which Preliminary Project Plan Section 3.8 does not state.]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Cybersecurity Risk Management Plan Section 9.3; System Architecture Section 12.4; Attachment: Key Personnel CVs and certificates</w:t>
            </w:r>
          </w:p>
        </w:tc>
      </w:tr>
    </w:tbl>
    <w:p>
      <w:pPr>
        <w:spacing w:after="140"/>
      </w:pPr>
    </w:p>
    <w:p>
      <w:r>
        <w:br w:type="page"/>
      </w:r>
    </w:p>
    <w:p>
      <w:r>
        <w:br w:type="page"/>
      </w:r>
    </w:p>
    <w:p>
      <w:pPr>
        <w:pStyle w:val="Heading1"/>
        <w:numPr>
          <w:ilvl w:val="0"/>
          <w:numId w:val="2"/>
        </w:numPr>
        <w:spacing w:after="140" w:before="240"/>
      </w:pPr>
      <w:r>
        <w:t xml:space="preserve">T</w:t>
      </w:r>
      <w:bookmarkStart w:name="sec_3" w:id="1"/>
      <w:r>
        <w:rPr>
          <w:b w:val="false"/>
          <w:bCs w:val="false"/>
          <w:i w:val="false"/>
          <w:iCs w:val="false"/>
        </w:rPr>
        <w:t xml:space="preserve">echnology Specifications, Supply and Install Items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5570"/>
        <w:gridCol w:w="200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450"/>
            <w:tcMar>
              <w:top w:type="dxa" w:w="60"/>
              <w:left w:type="dxa" w:w="100"/>
              <w:bottom w:type="dxa" w:w="60"/>
              <w:right w:type="dxa" w:w="100"/>
            </w:tcMar>
          </w:tcPr>
          <w:p>
            <w:pPr>
              <w:spacing w:after="0" w:before="0"/>
            </w:pPr>
            <w:r>
              <w:rPr>
                <w:b/>
                <w:bCs/>
                <w:i w:val="false"/>
                <w:iCs w:val="false"/>
              </w:rPr>
              <w:t xml:space="preserve">3.0.1</w:t>
            </w:r>
            <w:r>
              <w:rPr>
                <w:b w:val="false"/>
                <w:bCs w:val="false"/>
                <w:i w:val="false"/>
                <w:iCs w:val="false"/>
              </w:rPr>
              <w:t xml:space="preserve"> All solution components support the English language.</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delivered components support English. The application interfaces are delivered in English from language resource files, with data held and displayed in Unicode, and the general technical requirements applied to all active equipment specify English as the operating language.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6.13 and 9.4</w:t>
            </w:r>
          </w:p>
        </w:tc>
      </w:tr>
      <w:tr>
        <w:tc>
          <w:tcPr>
            <w:tcW w:type="dxa" w:w="1450"/>
            <w:tcMar>
              <w:top w:type="dxa" w:w="60"/>
              <w:left w:type="dxa" w:w="100"/>
              <w:bottom w:type="dxa" w:w="60"/>
              <w:right w:type="dxa" w:w="100"/>
            </w:tcMar>
          </w:tcPr>
          <w:p>
            <w:pPr>
              <w:spacing w:after="0" w:before="0"/>
            </w:pPr>
            <w:r>
              <w:rPr>
                <w:b/>
                <w:bCs/>
                <w:i w:val="false"/>
                <w:iCs w:val="false"/>
              </w:rPr>
              <w:t xml:space="preserve">3.0.2</w:t>
            </w:r>
            <w:r>
              <w:rPr>
                <w:b w:val="false"/>
                <w:bCs w:val="false"/>
                <w:i w:val="false"/>
                <w:iCs w:val="false"/>
              </w:rPr>
              <w:t xml:space="preserve"> Active equipment operates at 220V plus or minus 20V, 50Hz plus or minus 2Hz, with British Standard plugs.</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active equipment operates on 220V plus or minus 20V at 50Hz plus or minus 2Hz and is supplied with British Standard power plugs. The laser personalization systems accept 100 to 240 VAC at 50/60 Hz, which covers the specified range. [CONFIRM: The MS1000 mailing system datasheet states no electrical input range, and no datasheet confirms British Standard plugs. Obtain manufacturer confirmation for the mailing systems and the ICT equipment.]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9.4; Attachment: Laser personalization system datasheet</w:t>
            </w:r>
          </w:p>
        </w:tc>
      </w:tr>
      <w:tr>
        <w:tc>
          <w:tcPr>
            <w:tcW w:type="dxa" w:w="1450"/>
            <w:tcMar>
              <w:top w:type="dxa" w:w="60"/>
              <w:left w:type="dxa" w:w="100"/>
              <w:bottom w:type="dxa" w:w="60"/>
              <w:right w:type="dxa" w:w="100"/>
            </w:tcMar>
          </w:tcPr>
          <w:p>
            <w:pPr>
              <w:spacing w:after="0" w:before="0"/>
            </w:pPr>
            <w:r>
              <w:rPr>
                <w:b/>
                <w:bCs/>
                <w:i w:val="false"/>
                <w:iCs w:val="false"/>
              </w:rPr>
              <w:t xml:space="preserve">3.0.3</w:t>
            </w:r>
            <w:r>
              <w:rPr>
                <w:b w:val="false"/>
                <w:bCs w:val="false"/>
                <w:i w:val="false"/>
                <w:iCs w:val="false"/>
              </w:rPr>
              <w:t xml:space="preserve"> Equipment operates at 18 to 27 degrees Celsius, 40 to 60 percent humidity and 0 to 40 g/m3 dust.</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equipment is specified for 18 to 27 degrees Celsius, 40 to 60 percent relative humidity and 0 to 40 grams per cubic meter of dust. The laser systems are rated for 15 to 40 degrees Celsius and 20 to 65 percent humidity, and the facility HVAC and air filtration hold the rooms within range. [CONFIRM: No datasheet states a dust tolerance, and the MS1000 mailing system datasheet gives no operating environment. Obtain manufacturer confirmation.]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9.4 and 9.5; Attachment: Laser personalization system datasheet</w:t>
            </w:r>
          </w:p>
        </w:tc>
      </w:tr>
      <w:tr>
        <w:tc>
          <w:tcPr>
            <w:tcW w:type="dxa" w:w="1450"/>
            <w:tcMar>
              <w:top w:type="dxa" w:w="60"/>
              <w:left w:type="dxa" w:w="100"/>
              <w:bottom w:type="dxa" w:w="60"/>
              <w:right w:type="dxa" w:w="100"/>
            </w:tcMar>
          </w:tcPr>
          <w:p>
            <w:pPr>
              <w:spacing w:after="0" w:before="0"/>
            </w:pPr>
            <w:r>
              <w:rPr>
                <w:b/>
                <w:bCs/>
                <w:i w:val="false"/>
                <w:iCs w:val="false"/>
              </w:rPr>
              <w:t xml:space="preserve">3.0.4.1</w:t>
            </w:r>
            <w:r>
              <w:rPr>
                <w:b w:val="false"/>
                <w:bCs w:val="false"/>
                <w:i w:val="false"/>
                <w:iCs w:val="false"/>
              </w:rPr>
              <w:t xml:space="preserve"> Equipment operates at noise levels no greater than 80 decibels.</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equipment is specified to operate at a noise level not greater than 80 decibels. Noise level is checked during factory acceptance testing, together with the emergency stops and the electrical and environmental conformity documents. [CONFIRM: No datasheet states a noise level. Obtain the manufacturers' declared noise levels for the personalization and mailing systems.]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9.4; Preliminary Project Plan Section 4.3</w:t>
            </w:r>
          </w:p>
        </w:tc>
      </w:tr>
      <w:tr>
        <w:tc>
          <w:tcPr>
            <w:tcW w:type="dxa" w:w="1450"/>
            <w:tcMar>
              <w:top w:type="dxa" w:w="60"/>
              <w:left w:type="dxa" w:w="100"/>
              <w:bottom w:type="dxa" w:w="60"/>
              <w:right w:type="dxa" w:w="100"/>
            </w:tcMar>
          </w:tcPr>
          <w:p>
            <w:pPr>
              <w:spacing w:after="0" w:before="0"/>
            </w:pPr>
            <w:r>
              <w:rPr>
                <w:b/>
                <w:bCs/>
                <w:i w:val="false"/>
                <w:iCs w:val="false"/>
              </w:rPr>
              <w:t xml:space="preserve">3.0.4.2</w:t>
            </w:r>
            <w:r>
              <w:rPr>
                <w:b w:val="false"/>
                <w:bCs w:val="false"/>
                <w:i w:val="false"/>
                <w:iCs w:val="false"/>
              </w:rPr>
              <w:t xml:space="preserve"> Emitting electronic equipment certified to US FCC Class B, or EN 55022 and EN 50082-1, or equivalent.</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active equipment meets US FCC Class B, or EN 55022 and EN 50082-1, or equivalent emission standards. The laser personalization systems carry CE, UKCA and FCC certification, and copies of the emission certificates are included with the proposal. [CONFIRM: The laser datasheet lists FCC without the class, and the mailing datasheet lists no certification. Section IV of the RFP requires certificate copies in the proposal: obtain FCC Class B or EN 55022 certificates for the laser, mailing and ICT equipment. The RFP's 'END' is read as EN.]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9.4; Attachment: Laser personalization system datasheet; Attachment: EMC certification</w:t>
            </w:r>
          </w:p>
        </w:tc>
      </w:tr>
    </w:tbl>
    <w:p>
      <w:pPr>
        <w:spacing w:after="140"/>
      </w:pPr>
    </w:p>
    <w:p>
      <w:pPr>
        <w:pStyle w:val="Heading2"/>
        <w:numPr>
          <w:ilvl w:val="1"/>
          <w:numId w:val="2"/>
        </w:numPr>
        <w:spacing w:after="140" w:before="260"/>
      </w:pPr>
      <w:r>
        <w:t xml:space="preserve">A</w:t>
      </w:r>
      <w:bookmarkStart w:name="sec_3_1" w:id="1"/>
      <w:r>
        <w:rPr>
          <w:b w:val="false"/>
          <w:bCs w:val="false"/>
          <w:i w:val="false"/>
          <w:iCs w:val="false"/>
        </w:rPr>
        <w:t xml:space="preserve">utomatic modular laser personalization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3.1.1</w:t>
            </w:r>
            <w:r>
              <w:rPr>
                <w:b w:val="false"/>
                <w:bCs w:val="false"/>
                <w:i w:val="false"/>
                <w:iCs w:val="false"/>
              </w:rPr>
              <w:t xml:space="preserve"> Two automatic modular laser personalization systems for polycarbonate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automatic modular laser personalization systems are supplied, installed and commissioned, each a complete line from blank card feeder to verified output on 100% polycarbonate cards. As clarified in the Response to Clarifications 001, the cards are chipless, and the modular platform keeps provision for chip encoding should NRB adopt chip-based cards later.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1.1 and 3.1;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3.1.2</w:t>
            </w:r>
            <w:r>
              <w:rPr>
                <w:b w:val="false"/>
                <w:bCs w:val="false"/>
                <w:i w:val="false"/>
                <w:iCs w:val="false"/>
              </w:rPr>
              <w:t xml:space="preserve"> Duplex printing speed of at least 2,000 cards per hour across two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Responses to Queries 003, 2,000 cards per hour is the combined output of accepted finished cards, at least 1,000 per machine. Each machine, rated up to 2,000 cards per hour, personalizes both faces in one pass, and the rate is measured at factory acceptance with full personalization content. [CONFIRM: System Architecture Section 3.5 does not yet state that throughput is measured on accepted finished cards, as the Responses to Queries 003 require. Confirm with the manufacturer the rated duplex output with the full personalization content, allowing for the 1 percent reject rate.]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3.5 and 11.1; Preliminary Project Plan Section 4.3;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3.1.3</w:t>
            </w:r>
            <w:r>
              <w:rPr>
                <w:b w:val="false"/>
                <w:bCs w:val="false"/>
                <w:i w:val="false"/>
                <w:iCs w:val="false"/>
              </w:rPr>
              <w:t xml:space="preserve"> Laser engrave text, greyscale picture and stacked-layer security features including CLI, QR code and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card is laser engraved on both faces with variable text, a greyscale portrait, secondary image, micro lettering, CLI, a QR code carrying both alphanumeric values, and tactile laser printing. Each feature is engraved as a stacked layer at a controlled depth within the fused polycarbonate body, so altering one disturbs the others. [CONFIRM: The laser datasheet lists CLI/MLI and micro text as optional features and does not mention tactile laser printing. Confirm these options are in the configuration ordered and obtain manufacturer evidence for tactile marking, since this criterion is scored on documentary evidence. The meaning of 'both alphanumeric values' and the QR specification are still to come from the Purchaser.]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3.2 and 6.7; Preliminary Project Plan Section 4.3;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3.1.4</w:t>
            </w:r>
            <w:r>
              <w:rPr>
                <w:b w:val="false"/>
                <w:bCs w:val="false"/>
                <w:i w:val="false"/>
                <w:iCs w:val="false"/>
              </w:rPr>
              <w:t xml:space="preserve"> Personalization systems produce multilingual identity documents.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card text is in English and Chichewa, and the System engraves both as the approved layout requires. Data is held in Unicode throughout, and the characters used in Chichewa text are profiled against the card layout during discovery.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3.2, 4.4 and 6.13; Preliminary Project Plan Section 2.3</w:t>
            </w:r>
          </w:p>
        </w:tc>
      </w:tr>
      <w:tr>
        <w:tc>
          <w:tcPr>
            <w:tcW w:type="dxa" w:w="2000"/>
            <w:tcMar>
              <w:top w:type="dxa" w:w="60"/>
              <w:left w:type="dxa" w:w="100"/>
              <w:bottom w:type="dxa" w:w="60"/>
              <w:right w:type="dxa" w:w="100"/>
            </w:tcMar>
          </w:tcPr>
          <w:p>
            <w:pPr>
              <w:spacing w:after="0" w:before="0"/>
            </w:pPr>
            <w:r>
              <w:rPr>
                <w:b/>
                <w:bCs/>
                <w:i w:val="false"/>
                <w:iCs w:val="false"/>
              </w:rPr>
              <w:t xml:space="preserve">3.1.5</w:t>
            </w:r>
            <w:r>
              <w:rPr>
                <w:b w:val="false"/>
                <w:bCs w:val="false"/>
                <w:i w:val="false"/>
                <w:iCs w:val="false"/>
              </w:rPr>
              <w:t xml:space="preserve"> In-line verification of personalized card data, including verification of the optical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card is verified in the production path before it leaves the machine: engraved text is read by optical character recognition and verification, and the QR and other machine-readable codes are read and compared with the prepared record, on both faces. Verification covers every card, not a sample. [CONFIRM: Vision inspection is listed as an optional module on the S8000 laser datasheet. Confirm it is included on both machines in the configuration ordered.]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3.6 and 6.8;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3.1.6</w:t>
            </w:r>
            <w:r>
              <w:rPr>
                <w:b w:val="false"/>
                <w:bCs w:val="false"/>
                <w:i w:val="false"/>
                <w:iCs w:val="false"/>
              </w:rPr>
              <w:t xml:space="preserve"> Automatic blank card recognition against reference, with independent X-Y alignment for front, back and CLI.</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Before marking, the system identifies each blank card body and checks it against the card reference for the job, rejecting a mismatched body before any data is applied. X-Y alignment is performed independently for the front, the back and the CLI feature, registered to the pre-printed body and the lenticular 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3.6; Preliminary Project Plan Section 4.3</w:t>
            </w:r>
          </w:p>
        </w:tc>
      </w:tr>
      <w:tr>
        <w:tc>
          <w:tcPr>
            <w:tcW w:type="dxa" w:w="2000"/>
            <w:tcMar>
              <w:top w:type="dxa" w:w="60"/>
              <w:left w:type="dxa" w:w="100"/>
              <w:bottom w:type="dxa" w:w="60"/>
              <w:right w:type="dxa" w:w="100"/>
            </w:tcMar>
          </w:tcPr>
          <w:p>
            <w:pPr>
              <w:spacing w:after="0" w:before="0"/>
            </w:pPr>
            <w:r>
              <w:rPr>
                <w:b/>
                <w:bCs/>
                <w:i w:val="false"/>
                <w:iCs w:val="false"/>
              </w:rPr>
              <w:t xml:space="preserve">3.1.7</w:t>
            </w:r>
            <w:r>
              <w:rPr>
                <w:b w:val="false"/>
                <w:bCs w:val="false"/>
                <w:i w:val="false"/>
                <w:iCs w:val="false"/>
              </w:rPr>
              <w:t xml:space="preserve"> Automatic rejection of bad cards and in-job automatic or manual reproduction, notified by message.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Cards failing verification are rejected automatically and recorded against the job with the card, the point of failure and the reason, and the operator is notified by an on-screen message. Reproduction takes place within the same job, automatically or on operator instruction, without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3.7 and 6.8; Preliminary Project Plan Section 4.3</w:t>
            </w:r>
          </w:p>
        </w:tc>
      </w:tr>
      <w:tr>
        <w:tc>
          <w:tcPr>
            <w:tcW w:type="dxa" w:w="2000"/>
            <w:tcMar>
              <w:top w:type="dxa" w:w="60"/>
              <w:left w:type="dxa" w:w="100"/>
              <w:bottom w:type="dxa" w:w="60"/>
              <w:right w:type="dxa" w:w="100"/>
            </w:tcMar>
          </w:tcPr>
          <w:p>
            <w:pPr>
              <w:spacing w:after="0" w:before="0"/>
            </w:pPr>
            <w:r>
              <w:rPr>
                <w:b/>
                <w:bCs/>
                <w:i w:val="false"/>
                <w:iCs w:val="false"/>
              </w:rPr>
              <w:t xml:space="preserve">3.1.8</w:t>
            </w:r>
            <w:r>
              <w:rPr>
                <w:b w:val="false"/>
                <w:bCs w:val="false"/>
                <w:i w:val="false"/>
                <w:iCs w:val="false"/>
              </w:rPr>
              <w:t xml:space="preserve"> GUI machine software for record status retrieval, with audit, XML or flat files per job or batch.</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graphical machine software lets staff retrieve the status of each record in a job, and the Printer Control Service writes that status to the production database for publication to NRIS. On completion of each job or batch, the machine generates audit, XML or flat-file output recording the outcome of every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3.9 and 6.6</w:t>
            </w:r>
          </w:p>
        </w:tc>
      </w:tr>
      <w:tr>
        <w:tc>
          <w:tcPr>
            <w:tcW w:type="dxa" w:w="2000"/>
            <w:tcMar>
              <w:top w:type="dxa" w:w="60"/>
              <w:left w:type="dxa" w:w="100"/>
              <w:bottom w:type="dxa" w:w="60"/>
              <w:right w:type="dxa" w:w="100"/>
            </w:tcMar>
          </w:tcPr>
          <w:p>
            <w:pPr>
              <w:spacing w:after="0" w:before="0"/>
            </w:pPr>
            <w:r>
              <w:rPr>
                <w:b/>
                <w:bCs/>
                <w:i w:val="false"/>
                <w:iCs w:val="false"/>
              </w:rPr>
              <w:t xml:space="preserve">3.1.9</w:t>
            </w:r>
            <w:r>
              <w:rPr>
                <w:b w:val="false"/>
                <w:bCs w:val="false"/>
                <w:i w:val="false"/>
                <w:iCs w:val="false"/>
              </w:rPr>
              <w:t xml:space="preserve"> Emergency buttons around the machine, reachable by the operator from each point.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Emergency stop buttons are positioned around each machine so that the operator can reach one from every point at the line. Emergency stops are tested at factory acceptance, and every operator is trained and assessed on reaching and operating them from the working position. [CONFIRM: The S8000 laser datasheet lists a single emergency stop button. Confirm with the manufacturer that emergency stop buttons are positioned around the assembled modular line, reachable from each operator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3.1; Preliminary Project Plan Sections 3.8 and 4.3;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3.1.10</w:t>
            </w:r>
            <w:r>
              <w:rPr>
                <w:b w:val="false"/>
                <w:bCs w:val="false"/>
                <w:i w:val="false"/>
                <w:iCs w:val="false"/>
              </w:rPr>
              <w:t xml:space="preserve"> Modular machine allowing future expansion and upgrades.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machine is a modular platform: laser stations and processing modules are added or reconfigured on site without returning the machine to the factory. The platform accepts up to four laser modules and chip encoding modules, keeping the line compatible with future chip encoding mandates, as the Responses to Queries 003 require.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3.1;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3.1.11</w:t>
            </w:r>
            <w:r>
              <w:rPr>
                <w:b w:val="false"/>
                <w:bCs w:val="false"/>
                <w:i w:val="false"/>
                <w:iCs w:val="false"/>
              </w:rPr>
              <w:t xml:space="preserve"> Fiber-optic or diode-based laser and greyscale printing technology for polycarbonate card personalization.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Marking uses Master Oscillator Power Amplifier fiber laser technology with greyscale printing, applied to 100% polycarbonate cards. Engraving carbonizes material within the card body, so personalized data cannot be removed or altered without visible damage. As clarified in the Response to Clarifications 001, the cards are chipless.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3.1 and 3.2; Attachment: Laser personalization system datasheet</w:t>
            </w:r>
          </w:p>
        </w:tc>
      </w:tr>
    </w:tbl>
    <w:p>
      <w:pPr>
        <w:spacing w:after="140"/>
      </w:pPr>
    </w:p>
    <w:p>
      <w:pPr>
        <w:pStyle w:val="Heading2"/>
        <w:numPr>
          <w:ilvl w:val="1"/>
          <w:numId w:val="2"/>
        </w:numPr>
        <w:spacing w:after="140" w:before="260"/>
      </w:pPr>
      <w:r>
        <w:t xml:space="preserve">P</w:t>
      </w:r>
      <w:bookmarkStart w:name="sec_3_2" w:id="1"/>
      <w:r>
        <w:rPr>
          <w:b w:val="false"/>
          <w:bCs w:val="false"/>
          <w:i w:val="false"/>
          <w:iCs w:val="false"/>
        </w:rPr>
        <w:t xml:space="preserve">ersonalization laser features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3.2.1.1</w:t>
            </w:r>
            <w:r>
              <w:rPr>
                <w:b w:val="false"/>
                <w:bCs w:val="false"/>
                <w:i w:val="false"/>
                <w:iCs w:val="false"/>
              </w:rPr>
              <w:t xml:space="preserve"> Graphical layout designer to create, modify and manage card personalization layouts.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graphical Card Layout Template Editor, supplied with the manufacturer's personalization software, creates, modifies and manages card layouts. Templates are versioned and approved before production use, and each card records the template version that produced it. As clarified in the Responses to Queries 04, it is used to redesign the Malawi National ID template with NRB.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6.3 and 13.1; Preliminary Project Plan Section 2.4</w:t>
            </w:r>
          </w:p>
        </w:tc>
      </w:tr>
      <w:tr>
        <w:tc>
          <w:tcPr>
            <w:tcW w:type="dxa" w:w="2110"/>
            <w:tcMar>
              <w:top w:type="dxa" w:w="60"/>
              <w:left w:type="dxa" w:w="100"/>
              <w:bottom w:type="dxa" w:w="60"/>
              <w:right w:type="dxa" w:w="100"/>
            </w:tcMar>
          </w:tcPr>
          <w:p>
            <w:pPr>
              <w:spacing w:after="0" w:before="0"/>
            </w:pPr>
            <w:r>
              <w:rPr>
                <w:b/>
                <w:bCs/>
                <w:i w:val="false"/>
                <w:iCs w:val="false"/>
              </w:rPr>
              <w:t xml:space="preserve">3.2.1.2</w:t>
            </w:r>
            <w:r>
              <w:rPr>
                <w:b w:val="false"/>
                <w:bCs w:val="false"/>
                <w:i w:val="false"/>
                <w:iCs w:val="false"/>
              </w:rPr>
              <w:t xml:space="preserve"> Editor configures text, images, CLI windows, micro-text, MRZ and QR zones and all variable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editor configures text fields, portrait and signature images, the CLI window, micro-text zones, MRZ and QR zones, the card identifier zone and tactile regions, fixing the position of every variable element. The production path binds data into these elements and cannot move, resize or remove them.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6.3</w:t>
            </w:r>
          </w:p>
        </w:tc>
      </w:tr>
      <w:tr>
        <w:tc>
          <w:tcPr>
            <w:tcW w:type="dxa" w:w="2110"/>
            <w:tcMar>
              <w:top w:type="dxa" w:w="60"/>
              <w:left w:type="dxa" w:w="100"/>
              <w:bottom w:type="dxa" w:w="60"/>
              <w:right w:type="dxa" w:w="100"/>
            </w:tcMar>
          </w:tcPr>
          <w:p>
            <w:pPr>
              <w:spacing w:after="0" w:before="0"/>
            </w:pPr>
            <w:r>
              <w:rPr>
                <w:b/>
                <w:bCs/>
                <w:i w:val="false"/>
                <w:iCs w:val="false"/>
              </w:rPr>
              <w:t xml:space="preserve">3.2.2.1.1</w:t>
            </w:r>
            <w:r>
              <w:rPr>
                <w:b w:val="false"/>
                <w:bCs w:val="false"/>
                <w:i w:val="false"/>
                <w:iCs w:val="false"/>
              </w:rPr>
              <w:t xml:space="preserve"> Picture marking resolution of 600 dpi or higher, in greyscale as amended.</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amended by Addendum No. 2, the portrait is marked at 600 dpi or higher in greyscale. Continuous tone is produced by varying the laser energy density at each addressed point, and the resolution is measured on produced cards at factory acceptance. [CONFIRM: The laser datasheet states no marking resolution. Obtain the manufacturer's figure, ideally a measured sample, since this criterion is scored on the quality of evidence.]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3.2 and 3.3; Preliminary Project Plan Section 4.3</w:t>
            </w:r>
          </w:p>
        </w:tc>
      </w:tr>
      <w:tr>
        <w:tc>
          <w:tcPr>
            <w:tcW w:type="dxa" w:w="2110"/>
            <w:tcMar>
              <w:top w:type="dxa" w:w="60"/>
              <w:left w:type="dxa" w:w="100"/>
              <w:bottom w:type="dxa" w:w="60"/>
              <w:right w:type="dxa" w:w="100"/>
            </w:tcMar>
          </w:tcPr>
          <w:p>
            <w:pPr>
              <w:spacing w:after="0" w:before="0"/>
            </w:pPr>
            <w:r>
              <w:rPr>
                <w:b/>
                <w:bCs/>
                <w:i w:val="false"/>
                <w:iCs w:val="false"/>
              </w:rPr>
              <w:t xml:space="preserve">3.2.2.1.2</w:t>
            </w:r>
            <w:r>
              <w:rPr>
                <w:b w:val="false"/>
                <w:bCs w:val="false"/>
                <w:i w:val="false"/>
                <w:iCs w:val="false"/>
              </w:rPr>
              <w:t xml:space="preserve"> Micro text at 600 dpi or higher, with 0.33 mm line width and height.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Micro text is marked at 600 dpi or higher at a line width and height of 0.33 mm, using a focused laser spot well below that dimension and beam positioning repeatable enough to place successive characters without drift. The resolution is measured on produced cards at factory acceptance. [CONFIRM: The laser datasheet confirms micro text but gives no resolution or line size. Obtain the manufacturer's figure or a measured sample.]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3.3; Preliminary Project Plan Section 4.3</w:t>
            </w:r>
          </w:p>
        </w:tc>
      </w:tr>
      <w:tr>
        <w:tc>
          <w:tcPr>
            <w:tcW w:type="dxa" w:w="2110"/>
            <w:tcMar>
              <w:top w:type="dxa" w:w="60"/>
              <w:left w:type="dxa" w:w="100"/>
              <w:bottom w:type="dxa" w:w="60"/>
              <w:right w:type="dxa" w:w="100"/>
            </w:tcMar>
          </w:tcPr>
          <w:p>
            <w:pPr>
              <w:spacing w:after="0" w:before="0"/>
            </w:pPr>
            <w:r>
              <w:rPr>
                <w:b/>
                <w:bCs/>
                <w:i w:val="false"/>
                <w:iCs w:val="false"/>
              </w:rPr>
              <w:t xml:space="preserve">3.2.3.1.1</w:t>
            </w:r>
            <w:r>
              <w:rPr>
                <w:b w:val="false"/>
                <w:bCs w:val="false"/>
                <w:i w:val="false"/>
                <w:iCs w:val="false"/>
              </w:rPr>
              <w:t xml:space="preserve"> Integrated dedicated laser marking unit.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marking subsystem is integrated into each personalization machine and includes a dedicated laser marking unit, with fiber laser engraving modules in a protected laser marking chamber performing all marking on both faces of the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3.1;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3.2.3.1.2</w:t>
            </w:r>
            <w:r>
              <w:rPr>
                <w:b w:val="false"/>
                <w:bCs w:val="false"/>
                <w:i w:val="false"/>
                <w:iCs w:val="false"/>
              </w:rPr>
              <w:t xml:space="preserve"> Power supply and control PC for laser and greyscale personalization.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its power supply and an industrial control PC for laser and greyscale personalization, which runs the machine software, drives the laser stations and connects to the production network over Ethernet.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3.1 and 3.9;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3.2.3.1.3</w:t>
            </w:r>
            <w:r>
              <w:rPr>
                <w:b w:val="false"/>
                <w:bCs w:val="false"/>
                <w:i w:val="false"/>
                <w:iCs w:val="false"/>
              </w:rPr>
              <w:t xml:space="preserve"> Integrated cooling system for continuous industrial-scale laser engraving.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 integrated cooling system in each machine maintains laser operating temperature under continuous industrial duty, and the machines are rated for 24/7 operation. Cooling is serviced at the manufacturer's preventive maintenance intervals.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3.1; Preliminary Project Plan Section 5.4;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3.2.3.1.4</w:t>
            </w:r>
            <w:r>
              <w:rPr>
                <w:b w:val="false"/>
                <w:bCs w:val="false"/>
                <w:i w:val="false"/>
                <w:iCs w:val="false"/>
              </w:rPr>
              <w:t xml:space="preserve"> All components fully integrated, operating as a unified system with synchronized workflow control.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marking unit, power supply, control PC and cooling system are fully integrated into the personalization machine rather than assembled from separate units, and operate as a single system under synchronized workflow control.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3.1</w:t>
            </w:r>
          </w:p>
        </w:tc>
      </w:tr>
      <w:tr>
        <w:tc>
          <w:tcPr>
            <w:tcW w:type="dxa" w:w="2110"/>
            <w:tcMar>
              <w:top w:type="dxa" w:w="60"/>
              <w:left w:type="dxa" w:w="100"/>
              <w:bottom w:type="dxa" w:w="60"/>
              <w:right w:type="dxa" w:w="100"/>
            </w:tcMar>
          </w:tcPr>
          <w:p>
            <w:pPr>
              <w:spacing w:after="0" w:before="0"/>
            </w:pPr>
            <w:r>
              <w:rPr>
                <w:b/>
                <w:bCs/>
                <w:i w:val="false"/>
                <w:iCs w:val="false"/>
              </w:rPr>
              <w:t xml:space="preserve">3.2.4.1.1</w:t>
            </w:r>
            <w:r>
              <w:rPr>
                <w:b w:val="false"/>
                <w:bCs w:val="false"/>
                <w:i w:val="false"/>
                <w:iCs w:val="false"/>
              </w:rPr>
              <w:t xml:space="preserve"> Calibration tool adjusting individual or all laser units for uniform marking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a laser calibration tool that adjusts an individual laser station or all stations simultaneously. All stations are calibrated to a common reference, so marking quality is consistent across the line and cards marked by different stations in the same job are indistinguishable.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3.8 and 6.7; Preliminary Project Plan Section 4.3</w:t>
            </w:r>
          </w:p>
        </w:tc>
      </w:tr>
      <w:tr>
        <w:tc>
          <w:tcPr>
            <w:tcW w:type="dxa" w:w="2110"/>
            <w:tcMar>
              <w:top w:type="dxa" w:w="60"/>
              <w:left w:type="dxa" w:w="100"/>
              <w:bottom w:type="dxa" w:w="60"/>
              <w:right w:type="dxa" w:w="100"/>
            </w:tcMar>
          </w:tcPr>
          <w:p>
            <w:pPr>
              <w:spacing w:after="0" w:before="0"/>
            </w:pPr>
            <w:r>
              <w:rPr>
                <w:b/>
                <w:bCs/>
                <w:i w:val="false"/>
                <w:iCs w:val="false"/>
              </w:rPr>
              <w:t xml:space="preserve">3.2.4.1.2</w:t>
            </w:r>
            <w:r>
              <w:rPr>
                <w:b w:val="false"/>
                <w:bCs w:val="false"/>
                <w:i w:val="false"/>
                <w:iCs w:val="false"/>
              </w:rPr>
              <w:t xml:space="preserve"> Automated, operator-assisted calibration generating audit logs.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Calibration is automated and operator-assisted, and every calibration generates an audit log recording what was adjusted, when and by whom. Calibration is repeated at the manufacturer's intervals and whenever the calibration logs show drift.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3.8; Preliminary Project Plan Section 5.4</w:t>
            </w:r>
          </w:p>
        </w:tc>
      </w:tr>
      <w:tr>
        <w:tc>
          <w:tcPr>
            <w:tcW w:type="dxa" w:w="2110"/>
            <w:tcMar>
              <w:top w:type="dxa" w:w="60"/>
              <w:left w:type="dxa" w:w="100"/>
              <w:bottom w:type="dxa" w:w="60"/>
              <w:right w:type="dxa" w:w="100"/>
            </w:tcMar>
          </w:tcPr>
          <w:p>
            <w:pPr>
              <w:spacing w:after="0" w:before="0"/>
            </w:pPr>
            <w:r>
              <w:rPr>
                <w:b/>
                <w:bCs/>
                <w:i w:val="false"/>
                <w:iCs w:val="false"/>
              </w:rPr>
              <w:t xml:space="preserve">3.2.5.1</w:t>
            </w:r>
            <w:r>
              <w:rPr>
                <w:b w:val="false"/>
                <w:bCs w:val="false"/>
                <w:i w:val="false"/>
                <w:iCs w:val="false"/>
              </w:rPr>
              <w:t xml:space="preserve"> Each laser personalizes an entire card independently of other lasers.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integrated laser station receives the full card layout and the full data record for its card, and completes all marking on both faces without depending on any other station. [CONFIRM: Scored on documentary evidence (Document Register item 1.13). The laser datasheet does not show that each LX module marks a whole card alone. Obtain manufacturer evidence.]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3.4; Preliminary Project Plan Section 4.3</w:t>
            </w:r>
          </w:p>
        </w:tc>
      </w:tr>
      <w:tr>
        <w:tc>
          <w:tcPr>
            <w:tcW w:type="dxa" w:w="2110"/>
            <w:tcMar>
              <w:top w:type="dxa" w:w="60"/>
              <w:left w:type="dxa" w:w="100"/>
              <w:bottom w:type="dxa" w:w="60"/>
              <w:right w:type="dxa" w:w="100"/>
            </w:tcMar>
          </w:tcPr>
          <w:p>
            <w:pPr>
              <w:spacing w:after="0" w:before="0"/>
            </w:pPr>
            <w:r>
              <w:rPr>
                <w:b/>
                <w:bCs/>
                <w:i w:val="false"/>
                <w:iCs w:val="false"/>
              </w:rPr>
              <w:t xml:space="preserve">3.2.5.2</w:t>
            </w:r>
            <w:r>
              <w:rPr>
                <w:b w:val="false"/>
                <w:bCs w:val="false"/>
                <w:i w:val="false"/>
                <w:iCs w:val="false"/>
              </w:rPr>
              <w:t xml:space="preserve"> Any laser station can be switched off or serviced without interrupting or degrading production.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Any laser station can be switched on, switched off or removed for maintenance while the line runs, and the workflow routes cards only to available stations. All stations are calibrated to identical quality, so output is unaffected, and this is demonstrated at factory acceptance by taking a station out during a run. [CONFIRM: Confirm with the manufacturer the hourly rate of one machine with a station out of service, since the clause requires that the production flow is not degraded.]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3.4 and 3.8; Preliminary Project Plan Section 4.3</w:t>
            </w:r>
          </w:p>
        </w:tc>
      </w:tr>
      <w:tr>
        <w:tc>
          <w:tcPr>
            <w:tcW w:type="dxa" w:w="2110"/>
            <w:tcMar>
              <w:top w:type="dxa" w:w="60"/>
              <w:left w:type="dxa" w:w="100"/>
              <w:bottom w:type="dxa" w:w="60"/>
              <w:right w:type="dxa" w:w="100"/>
            </w:tcMar>
          </w:tcPr>
          <w:p>
            <w:pPr>
              <w:spacing w:after="0" w:before="0"/>
            </w:pPr>
            <w:r>
              <w:rPr>
                <w:b/>
                <w:bCs/>
                <w:i w:val="false"/>
                <w:iCs w:val="false"/>
              </w:rPr>
              <w:t xml:space="preserve">3.2.6.1.1</w:t>
            </w:r>
            <w:r>
              <w:rPr>
                <w:b w:val="false"/>
                <w:bCs w:val="false"/>
                <w:i w:val="false"/>
                <w:iCs w:val="false"/>
              </w:rPr>
              <w:t xml:space="preserve"> Submit machine datasheet with dimensions, weight, operating environment and system architecture.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Machine Technical Datasheet is submitted, giving module dimensions (L x W x H: control module 48/96 x 70 x 85 cm; laser, input and output modules 48 x 70 x 140 cm), operating environment (15 to 40 degrees Celsius, 20 to 65 percent humidity) and Ethernet connectivity. The System Architecture describes each component. [GAP: The datasheet on file gives no weight and only per-module dimensions, not the assembled line. The System Architecture subsection 'Technical data and installation requirements' is listed in its contents but not yet drafted. Obtain weight and overall dimensions for the configuration offered.]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System Architecture Sections 3.1 and 3.9</w:t>
            </w:r>
          </w:p>
        </w:tc>
      </w:tr>
      <w:tr>
        <w:tc>
          <w:tcPr>
            <w:tcW w:type="dxa" w:w="2110"/>
            <w:tcMar>
              <w:top w:type="dxa" w:w="60"/>
              <w:left w:type="dxa" w:w="100"/>
              <w:bottom w:type="dxa" w:w="60"/>
              <w:right w:type="dxa" w:w="100"/>
            </w:tcMar>
          </w:tcPr>
          <w:p>
            <w:pPr>
              <w:spacing w:after="0" w:before="0"/>
            </w:pPr>
            <w:r>
              <w:rPr>
                <w:b/>
                <w:bCs/>
                <w:i w:val="false"/>
                <w:iCs w:val="false"/>
              </w:rPr>
              <w:t xml:space="preserve">3.2.6.1.2</w:t>
            </w:r>
            <w:r>
              <w:rPr>
                <w:b w:val="false"/>
                <w:bCs w:val="false"/>
                <w:i w:val="false"/>
                <w:iCs w:val="false"/>
              </w:rPr>
              <w:t xml:space="preserve"> Submit laser unit details: brand, model, type, technology, wavelength, lifespan, maintenance intervals.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engraving units are Identis LX GEN 3 laser markers using Master Oscillator Power Amplifier fiber laser technology, up to four per machine. Wavelength, expected operational lifespan and maintenance intervals are stated in the Laser Engraving Unit Details submitted with the proposal. [GAP: Wavelength, operational lifespan and maintenance intervals are not in any document on file. Obtain the Laser Engraving Unit Details from the manufacturer; the Document Register marks it mandatory.]</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Laser Engraving Unit Details; Preliminary Project Plan Section 5.4</w:t>
            </w:r>
          </w:p>
        </w:tc>
      </w:tr>
      <w:tr>
        <w:tc>
          <w:tcPr>
            <w:tcW w:type="dxa" w:w="2110"/>
            <w:tcMar>
              <w:top w:type="dxa" w:w="60"/>
              <w:left w:type="dxa" w:w="100"/>
              <w:bottom w:type="dxa" w:w="60"/>
              <w:right w:type="dxa" w:w="100"/>
            </w:tcMar>
          </w:tcPr>
          <w:p>
            <w:pPr>
              <w:spacing w:after="0" w:before="0"/>
            </w:pPr>
            <w:r>
              <w:rPr>
                <w:b/>
                <w:bCs/>
                <w:i w:val="false"/>
                <w:iCs w:val="false"/>
              </w:rPr>
              <w:t xml:space="preserve">3.2.6.1.3</w:t>
            </w:r>
            <w:r>
              <w:rPr>
                <w:b w:val="false"/>
                <w:bCs w:val="false"/>
                <w:i w:val="false"/>
                <w:iCs w:val="false"/>
              </w:rPr>
              <w:t xml:space="preserve"> Dedicated document on power requirements and air pressure, flow rate and compressor specifications.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personalization machine operates on 100 to 240 VAC at 50/60 Hz with a 2,500 W power supply, and includes an air compressor system for pneumatic transport and handling. Air pressure, flow rate and compressor specifications are set out in the dedicated Power and Air Pressure Requirements document. [GAP: Air pressure, flow rate and compressor figures are not on file, and the datasheet does not say whether 2,500 W is per module or per machine. Obtain the dedicated document from the manufacturer; the Document Register marks it mandatory.]</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Power and Air Pressure Requirements; System Architecture Section 3.1</w:t>
            </w:r>
          </w:p>
        </w:tc>
      </w:tr>
    </w:tbl>
    <w:p>
      <w:pPr>
        <w:spacing w:after="140"/>
      </w:pPr>
    </w:p>
    <w:p>
      <w:pPr>
        <w:pStyle w:val="Heading2"/>
        <w:numPr>
          <w:ilvl w:val="1"/>
          <w:numId w:val="2"/>
        </w:numPr>
        <w:spacing w:after="140" w:before="260"/>
      </w:pPr>
      <w:r>
        <w:t xml:space="preserve">A</w:t>
      </w:r>
      <w:bookmarkStart w:name="sec_3_3" w:id="1"/>
      <w:r>
        <w:rPr>
          <w:b w:val="false"/>
          <w:bCs w:val="false"/>
          <w:i w:val="false"/>
          <w:iCs w:val="false"/>
        </w:rPr>
        <w:t xml:space="preserve">utomated mailing and dispatch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50"/>
        <w:gridCol w:w="200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3.3.1</w:t>
            </w:r>
            <w:r>
              <w:rPr>
                <w:b w:val="false"/>
                <w:bCs w:val="false"/>
                <w:i w:val="false"/>
                <w:iCs w:val="false"/>
              </w:rPr>
              <w:t xml:space="preserve"> Two mailing systems affixing one to four cards per carrier letter.</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Two automated mailing and dispatch systems are supplied, installed and commissioned. Each attaches one to four cards to a single carrier letter, printed and affixed in the same pass so that the carrier is matched to its cards by data rather than by sequence.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5.1 and 5.2; Preliminary Project Plan Section 4.3;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3.3.2</w:t>
            </w:r>
            <w:r>
              <w:rPr>
                <w:b w:val="false"/>
                <w:bCs w:val="false"/>
                <w:i w:val="false"/>
                <w:iCs w:val="false"/>
              </w:rPr>
              <w:t xml:space="preserve"> Automatic conveyance of documents through the inserting module into envelopes.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After the cards are affixed and the match is verified, the carrier is folded in C, V or Z format and conveyed automatically through the inserting module into the envelope, which is then sealed. No manual handling occurs between affixing and insertion, and insertion is tested in the mailing system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5.1, 5.2 and 5.3; Preliminary Project Plan Section 4.5;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3.3.3</w:t>
            </w:r>
            <w:r>
              <w:rPr>
                <w:b w:val="false"/>
                <w:bCs w:val="false"/>
                <w:i w:val="false"/>
                <w:iCs w:val="false"/>
              </w:rPr>
              <w:t xml:space="preserve"> Verification capabilities including 1D, 2D and QR code verification.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verification station reads 1D, 2D and QR codes, and this is tested at factory acceptance. Each card is read twice against the job record, before its carrier is printed and again with its carrier after affixing, and any mismatch is diverted to the reject magazine instead of being inserted. [CONFIRM: The card data reading station is an optional module on the MS1000 datasheet, which does not state 1D, 2D and QR capability. Confirm it is configured on both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5.4; Preliminary Project Plan Section 4.3</w:t>
            </w:r>
          </w:p>
        </w:tc>
      </w:tr>
      <w:tr>
        <w:tc>
          <w:tcPr>
            <w:tcW w:type="dxa" w:w="1670"/>
            <w:tcMar>
              <w:top w:type="dxa" w:w="60"/>
              <w:left w:type="dxa" w:w="100"/>
              <w:bottom w:type="dxa" w:w="60"/>
              <w:right w:type="dxa" w:w="100"/>
            </w:tcMar>
          </w:tcPr>
          <w:p>
            <w:pPr>
              <w:spacing w:after="0" w:before="0"/>
            </w:pPr>
            <w:r>
              <w:rPr>
                <w:b/>
                <w:bCs/>
                <w:i w:val="false"/>
                <w:iCs w:val="false"/>
              </w:rPr>
              <w:t xml:space="preserve">3.3.4</w:t>
            </w:r>
            <w:r>
              <w:rPr>
                <w:b w:val="false"/>
                <w:bCs w:val="false"/>
                <w:i w:val="false"/>
                <w:iCs w:val="false"/>
              </w:rPr>
              <w:t xml:space="preserve"> Automatic printing of personalized carrier letters.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carrier printing station prints each personalized carrier letter at the line immediately before the cards are affixed, including the destination address and dispatch reference, from content generated by the Mailing and Dispatch Management System. A4 and US letter formats up to 100 gsm are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5.1, 5.2 and 6.9;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3.3.5</w:t>
            </w:r>
            <w:r>
              <w:rPr>
                <w:b w:val="false"/>
                <w:bCs w:val="false"/>
                <w:i w:val="false"/>
                <w:iCs w:val="false"/>
              </w:rPr>
              <w:t xml:space="preserve"> Fully integrated card transport modules.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Each line includes fully integrated card transport modules that move cards from the input hopper to the affixing station under positional control, within a single integrated line from card reading to sealed and sorted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5.1</w:t>
            </w:r>
          </w:p>
        </w:tc>
      </w:tr>
      <w:tr>
        <w:tc>
          <w:tcPr>
            <w:tcW w:type="dxa" w:w="1670"/>
            <w:tcMar>
              <w:top w:type="dxa" w:w="60"/>
              <w:left w:type="dxa" w:w="100"/>
              <w:bottom w:type="dxa" w:w="60"/>
              <w:right w:type="dxa" w:w="100"/>
            </w:tcMar>
          </w:tcPr>
          <w:p>
            <w:pPr>
              <w:spacing w:after="0" w:before="0"/>
            </w:pPr>
            <w:r>
              <w:rPr>
                <w:b/>
                <w:bCs/>
                <w:i w:val="false"/>
                <w:iCs w:val="false"/>
              </w:rPr>
              <w:t xml:space="preserve">3.3.6</w:t>
            </w:r>
            <w:r>
              <w:rPr>
                <w:b w:val="false"/>
                <w:bCs w:val="false"/>
                <w:i w:val="false"/>
                <w:iCs w:val="false"/>
              </w:rPr>
              <w:t xml:space="preserve"> Reject magazines for error handling.</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Separate reject magazines receive the cards and carriers diverted out of the production path on verification failure. Rejected items are held under control and recorded against the job, so every card issued to the line is accounted for as a completed mail piece or a recorded reject.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5.4 and 5.5;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3.3.7</w:t>
            </w:r>
            <w:r>
              <w:rPr>
                <w:b w:val="false"/>
                <w:bCs w:val="false"/>
                <w:i w:val="false"/>
                <w:iCs w:val="false"/>
              </w:rPr>
              <w:t xml:space="preserve"> Buffer modules for uninterrupted operation.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Buffer modules hold work in progress between stations, so a brief stoppage at one station does not halt those upstream and downstream of it, and the line runs continuously under sustained load. Buffer operation is tested at factory acceptance. [CONFIRM: Buffer modules do not appear on the MS1000 datasheet. Confirm with the manufacturer that they are available and included in the configuration.]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5.5 and 11.1; Preliminary Project Plan Section 4.3</w:t>
            </w:r>
          </w:p>
        </w:tc>
      </w:tr>
      <w:tr>
        <w:tc>
          <w:tcPr>
            <w:tcW w:type="dxa" w:w="1670"/>
            <w:tcMar>
              <w:top w:type="dxa" w:w="60"/>
              <w:left w:type="dxa" w:w="100"/>
              <w:bottom w:type="dxa" w:w="60"/>
              <w:right w:type="dxa" w:w="100"/>
            </w:tcMar>
          </w:tcPr>
          <w:p>
            <w:pPr>
              <w:spacing w:after="0" w:before="0"/>
            </w:pPr>
            <w:r>
              <w:rPr>
                <w:b/>
                <w:bCs/>
                <w:i w:val="false"/>
                <w:iCs w:val="false"/>
              </w:rPr>
              <w:t xml:space="preserve">3.3.8</w:t>
            </w:r>
            <w:r>
              <w:rPr>
                <w:b w:val="false"/>
                <w:bCs w:val="false"/>
                <w:i w:val="false"/>
                <w:iCs w:val="false"/>
              </w:rPr>
              <w:t xml:space="preserve"> Direct technology linkage with Malawi's ID database.</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mailing lines receive job data over a live interface from the Mailing and Dispatch Management System, which draws destination data from NRIS through the single integration gateway and reports packaged, dispatched and delivered status back to NRIS. As clarified in the Clarifications to Queries 005, the Purchaser provides the NRIS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5.7, 7.1, 7.2 and 8.4</w:t>
            </w:r>
          </w:p>
        </w:tc>
      </w:tr>
      <w:tr>
        <w:tc>
          <w:tcPr>
            <w:tcW w:type="dxa" w:w="1670"/>
            <w:tcMar>
              <w:top w:type="dxa" w:w="60"/>
              <w:left w:type="dxa" w:w="100"/>
              <w:bottom w:type="dxa" w:w="60"/>
              <w:right w:type="dxa" w:w="100"/>
            </w:tcMar>
          </w:tcPr>
          <w:p>
            <w:pPr>
              <w:spacing w:after="0" w:before="0"/>
            </w:pPr>
            <w:r>
              <w:rPr>
                <w:b/>
                <w:bCs/>
                <w:i w:val="false"/>
                <w:iCs w:val="false"/>
              </w:rPr>
              <w:t xml:space="preserve">3.3.9</w:t>
            </w:r>
            <w:r>
              <w:rPr>
                <w:b w:val="false"/>
                <w:bCs w:val="false"/>
                <w:i w:val="false"/>
                <w:iCs w:val="false"/>
              </w:rPr>
              <w:t xml:space="preserve"> Compatibility with modern courier workflows.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System generates a tracking reference for every mail piece and dispatch batch, exports structured dispatch data, records delivery status from an operator, and connects to its application programming interface or by secure file transfer. As clarified in the Clarifications to Queries 005, no postal operator is designated, and Inkript engages one and connects the System to 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6.9, 8.6 and 13.2</w:t>
            </w:r>
          </w:p>
        </w:tc>
      </w:tr>
      <w:tr>
        <w:tc>
          <w:tcPr>
            <w:tcW w:type="dxa" w:w="1670"/>
            <w:tcMar>
              <w:top w:type="dxa" w:w="60"/>
              <w:left w:type="dxa" w:w="100"/>
              <w:bottom w:type="dxa" w:w="60"/>
              <w:right w:type="dxa" w:w="100"/>
            </w:tcMar>
          </w:tcPr>
          <w:p>
            <w:pPr>
              <w:spacing w:after="0" w:before="0"/>
            </w:pPr>
            <w:r>
              <w:rPr>
                <w:b/>
                <w:bCs/>
                <w:i w:val="false"/>
                <w:iCs w:val="false"/>
              </w:rPr>
              <w:t xml:space="preserve">3.3.10</w:t>
            </w:r>
            <w:r>
              <w:rPr>
                <w:b w:val="false"/>
                <w:bCs w:val="false"/>
                <w:i w:val="false"/>
                <w:iCs w:val="false"/>
              </w:rPr>
              <w:t xml:space="preserve"> At least 2,000 completed mailers per hour across two machines.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two mailing lines together produce not less than 2,000 completed mailers per hour, each line not less than 1,000. As clarified in the Clarifications to Queries 005, the rate is measured on single-card mailers. It is verified at factory acceptance and in the operational acceptance throughput test. [CONFIRM: The MS1000 datasheet rates each line at up to 1,000 cards per hour, exactly the per-machine minimum, leaving no margin for rejects or stoppages. Confirm the sustained rate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5.6 and 11.1; Preliminary Project Plan Sections 4.3 and 4.6;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3.3.11</w:t>
            </w:r>
            <w:r>
              <w:rPr>
                <w:b w:val="false"/>
                <w:bCs w:val="false"/>
                <w:i w:val="false"/>
                <w:iCs w:val="false"/>
              </w:rPr>
              <w:t xml:space="preserve"> Packed mailers handed to courier services for last-mile delivery to citizens' enrolment addresses.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Completed mail pieces are grouped into dispatch batches by destination, and each batch is closed with a handover record of contents, time and receiving party. As clarified in the Clarifications to Queries 005, no postal operator is designated, and Inkript engages the operator that delivers the cards and connects the System to its tracking service. [GAP: The Clarifications to Queries 005 make the Supplier 'solely responsible for engaging and contracting with necessary Postal Operators'. System Architecture Section 8.6 and System Architecture Section 13.2 commit only to engaging for data exchange, and place physical delivery with NRB's own fleet. Decide whether Inkript contracts the postal operator for last-mile delivery, then align both sections and this row.]</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8.2, 8.6 and 13.2</w:t>
            </w:r>
          </w:p>
        </w:tc>
      </w:tr>
    </w:tbl>
    <w:p>
      <w:pPr>
        <w:spacing w:after="140"/>
      </w:pPr>
    </w:p>
    <w:p>
      <w:pPr>
        <w:pStyle w:val="Heading2"/>
        <w:numPr>
          <w:ilvl w:val="1"/>
          <w:numId w:val="2"/>
        </w:numPr>
        <w:spacing w:after="140" w:before="260"/>
      </w:pPr>
      <w:r>
        <w:t xml:space="preserve">P</w:t>
      </w:r>
      <w:bookmarkStart w:name="sec_3_4" w:id="1"/>
      <w:r>
        <w:rPr>
          <w:b w:val="false"/>
          <w:bCs w:val="false"/>
          <w:i w:val="false"/>
          <w:iCs w:val="false"/>
        </w:rPr>
        <w:t xml:space="preserve">olycarbonate cards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3.4.1</w:t>
            </w:r>
            <w:r>
              <w:rPr>
                <w:b w:val="false"/>
                <w:bCs w:val="false"/>
                <w:i w:val="false"/>
                <w:iCs w:val="false"/>
              </w:rPr>
              <w:t xml:space="preserve"> Two million fused multilayer polycarbonate cards without adhesives, ten-year life, ISO 7810, ISO 10373-1 and ISO 24789.</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Clarifications to Queries 005, two million chipless blank card bodies are supplied, serialized at manufacture. Each is six or more 100% polycarbonate layers fully fused without adhesives, for a minimum ten-year service life, and complies with ISO/IEC 7810, ISO/IEC 10373-1, ISO/IEC 24789-1 and ISO/IEC 24789-2. [CONFIRM: Depends on the card manufacturer's construction confirmation and laboratory test reports, which must be obtained.]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1.1, 4.1 and 4.6; Attachment: Construction confirmation; Attachment: Card manufacturer laboratory test reports</w:t>
            </w:r>
          </w:p>
        </w:tc>
      </w:tr>
      <w:tr>
        <w:tc>
          <w:tcPr>
            <w:tcW w:type="dxa" w:w="2000"/>
            <w:tcMar>
              <w:top w:type="dxa" w:w="60"/>
              <w:left w:type="dxa" w:w="100"/>
              <w:bottom w:type="dxa" w:w="60"/>
              <w:right w:type="dxa" w:w="100"/>
            </w:tcMar>
          </w:tcPr>
          <w:p>
            <w:pPr>
              <w:spacing w:after="0" w:before="0"/>
            </w:pPr>
            <w:r>
              <w:rPr>
                <w:b/>
                <w:bCs/>
                <w:i w:val="false"/>
                <w:iCs w:val="false"/>
              </w:rPr>
              <w:t xml:space="preserve">3.4.2</w:t>
            </w:r>
            <w:r>
              <w:rPr>
                <w:b w:val="false"/>
                <w:bCs w:val="false"/>
                <w:i w:val="false"/>
                <w:iCs w:val="false"/>
              </w:rPr>
              <w:t xml:space="preserve"> Front card body security features: guilloche, IRIS, OVMI flag, CLI, micro-text, UV, thermochromic, photonic crystal.</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front carries guilloche and numismatic backgrounds, rainbow (IRIS) printing, OVMI with the Malawi flag motif, CLI of photograph and number, micro-text including within the portrait box, relief and tactile micro-text, deliberate errors in both, an invisible UV national emblem, photonic crystal pattern elements and thermochromic ink. [CONFIRM: The card manufacturer must confirm every front feature, including the crystal pattern security background, which System Architecture Section 4.2 does not list separately from the photonic crystal elements. The Responses to Queries 04 make OVMI and thermochromic ink mandatory, with no alternatives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4.2; Attachment: Sample card images;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3.4.3</w:t>
            </w:r>
            <w:r>
              <w:rPr>
                <w:b w:val="false"/>
                <w:bCs w:val="false"/>
                <w:i w:val="false"/>
                <w:iCs w:val="false"/>
              </w:rPr>
              <w:t xml:space="preserve"> Back card body security features: rainbow, OVMI and UV map or half-sun, photonic crystal, guilloche, micro-text.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back carries a rainbow color transition, OVMI and invisible UV printing of the Malawi map or rising red half-sun symbol, guilloche security structures, micro-text and deliberate error elements. As clarified in the Responses to Queries 04, photonic crystal is required on the front, where the card carries it, and is optional on the back. [CONFIRM: System Architecture Section 4.3 omits photonic crystal on the back and relies on the Responses to Queries 04. The clause itself lists it, so consider adding it if the card manufacturer offers dual-sided photonic crystal.]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4.2 and 4.3;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3.4.4</w:t>
            </w:r>
            <w:r>
              <w:rPr>
                <w:b w:val="false"/>
                <w:bCs w:val="false"/>
                <w:i w:val="false"/>
                <w:iCs w:val="false"/>
              </w:rPr>
              <w:t xml:space="preserve"> Personalization features: 600+ dpi portrait, stacked-layer greyscale, secondary image, CLI, micro-lettering, QR,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Laser engraving applies a greyscale portrait at 600 dpi or higher to ICAO photograph specifications, stacked-layer greyscale personalization, a secondary image, CLI elements, micro-lettering above 600 dpi, English and Chichewa data, and tactile laser printing. As clarified in the Responses to Queries 003, the QR code is digitally signed and carries biodata, face and fingerprints. [CONFIRM: Depends on the same manufacturer evidence as clause 3.1.3 and clause 3.2.2.1.1: the laser datasheet states no marking resolution and does not mention tactile laser printing.]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3.2, 4.4 and 4.5</w:t>
            </w:r>
          </w:p>
        </w:tc>
      </w:tr>
      <w:tr>
        <w:tc>
          <w:tcPr>
            <w:tcW w:type="dxa" w:w="2000"/>
            <w:tcMar>
              <w:top w:type="dxa" w:w="60"/>
              <w:left w:type="dxa" w:w="100"/>
              <w:bottom w:type="dxa" w:w="60"/>
              <w:right w:type="dxa" w:w="100"/>
            </w:tcMar>
          </w:tcPr>
          <w:p>
            <w:pPr>
              <w:spacing w:after="0" w:before="0"/>
            </w:pPr>
            <w:r>
              <w:rPr>
                <w:b/>
                <w:bCs/>
                <w:i w:val="false"/>
                <w:iCs w:val="false"/>
              </w:rPr>
              <w:t xml:space="preserve">3.4.5.1</w:t>
            </w:r>
            <w:r>
              <w:rPr>
                <w:b w:val="false"/>
                <w:bCs w:val="false"/>
                <w:i w:val="false"/>
                <w:iCs w:val="false"/>
              </w:rPr>
              <w:t xml:space="preserve"> Sample images of blank and personalized cards, front and back, at bid and during production testing.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Images of the blank front, blank back, personalized front and personalized back, showing the layout, design and security features, are included in the proposal and submitted again from pilot production. As clarified in the Responses to Queries 04, at least two physical sample cards are also included with the proposal. [CONFIRM: Images and physical samples must be obtained from the card manufacturer. The final Malawi design is agreed after award under the Clarifications to Queries 005, so the bid images show a representative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4.7; Preliminary Project Plan Section 4.5; Attachment: Sample card images</w:t>
            </w:r>
          </w:p>
        </w:tc>
      </w:tr>
      <w:tr>
        <w:tc>
          <w:tcPr>
            <w:tcW w:type="dxa" w:w="2000"/>
            <w:tcMar>
              <w:top w:type="dxa" w:w="60"/>
              <w:left w:type="dxa" w:w="100"/>
              <w:bottom w:type="dxa" w:w="60"/>
              <w:right w:type="dxa" w:w="100"/>
            </w:tcMar>
          </w:tcPr>
          <w:p>
            <w:pPr>
              <w:spacing w:after="0" w:before="0"/>
            </w:pPr>
            <w:r>
              <w:rPr>
                <w:b/>
                <w:bCs/>
                <w:i w:val="false"/>
                <w:iCs w:val="false"/>
              </w:rPr>
              <w:t xml:space="preserve">3.4.6.1</w:t>
            </w:r>
            <w:r>
              <w:rPr>
                <w:b w:val="false"/>
                <w:bCs w:val="false"/>
                <w:i w:val="false"/>
                <w:iCs w:val="false"/>
              </w:rPr>
              <w:t xml:space="preserve"> Laboratory test reports for ISO 24789, ISO 10373 and ISO 7810, covering fourteen named tests.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not fewer than two laboratory test reports are provided, dated within three years, from an independent international laboratory holding ISO/IEC 17025 accreditation, covering all fourteen named tests against ISO/IEC 7810, ISO/IEC 10373-1 and ISO/IEC 24789. Supplier-provided testing is on cards of six or more fully fused layers without adhesives. [CONFIRM: Reports must be obtained from the card manufacturer and checked to cover all fourteen tests within three years. The Responses to Queries 04 accept redacted reports and require a laboratory holding government mandates for national ID.]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4.1 and 4.6; Attachment: Card manufacturer laboratory test reports</w:t>
            </w:r>
          </w:p>
        </w:tc>
      </w:tr>
    </w:tbl>
    <w:p>
      <w:pPr>
        <w:spacing w:after="140"/>
      </w:pPr>
    </w:p>
    <w:p>
      <w:pPr>
        <w:pStyle w:val="Heading2"/>
        <w:numPr>
          <w:ilvl w:val="1"/>
          <w:numId w:val="2"/>
        </w:numPr>
        <w:spacing w:after="140" w:before="260"/>
      </w:pPr>
      <w:r>
        <w:t xml:space="preserve">R</w:t>
      </w:r>
      <w:bookmarkStart w:name="sec_3_5" w:id="1"/>
      <w:r>
        <w:rPr>
          <w:b w:val="false"/>
          <w:bCs w:val="false"/>
          <w:i w:val="false"/>
          <w:iCs w:val="false"/>
        </w:rPr>
        <w:t xml:space="preserve">enovation of premises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3.5.1.1</w:t>
            </w:r>
            <w:r>
              <w:rPr>
                <w:b w:val="false"/>
                <w:bCs w:val="false"/>
                <w:i w:val="false"/>
                <w:iCs w:val="false"/>
              </w:rPr>
              <w:t xml:space="preserve"> Renovate premises into a secure, compliant, production-ready center for personalization and mailing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renovates the designated ground floor area into a secure, production-ready facility for both personalization lines and both mailing lines, delivered under the facility works by a CIRA-registered rehabilitation contractor in weeks 7 to 18. As clarified in the Responses to Queries 04, the design relies on no existing electrical, HVAC, ICT or security infrastructure. [GAP: The four proposal documents defer this to 'the facility works', which has no document of its own, and none of them names the CIRA-registered contractor. A facility works plan covering every clause 3.5 item is needed for this and the following renovation rows.]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 System Architecture Sections 9.5 and 13.1;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3.5.1.2</w:t>
            </w:r>
            <w:r>
              <w:rPr>
                <w:b w:val="false"/>
                <w:bCs w:val="false"/>
                <w:i w:val="false"/>
                <w:iCs w:val="false"/>
              </w:rPr>
              <w:t xml:space="preserve"> All renovation, fit-out, installation, testing, commissioning and handover works for a turnkey facility.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cover renovation, refurbishment, fit-out, supply, installation, testing, commissioning and handover of the facility systems, scheduled as phase 4 of the implementation plan. They are coordinated with the Information System through the ICT Site Preparation Guide, a readiness inspection in week 18 and building-level checks in pre-commissioning. [GAP: The four proposal documents defer this to 'the facility works', which has no document of its own. No facility works method or scope statement exists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 2.4, 2.9 and 4.5</w:t>
            </w:r>
          </w:p>
        </w:tc>
      </w:tr>
      <w:tr>
        <w:tc>
          <w:tcPr>
            <w:tcW w:type="dxa" w:w="2110"/>
            <w:tcMar>
              <w:top w:type="dxa" w:w="60"/>
              <w:left w:type="dxa" w:w="100"/>
              <w:bottom w:type="dxa" w:w="60"/>
              <w:right w:type="dxa" w:w="100"/>
            </w:tcMar>
          </w:tcPr>
          <w:p>
            <w:pPr>
              <w:spacing w:after="0" w:before="0"/>
            </w:pPr>
            <w:r>
              <w:rPr>
                <w:b/>
                <w:bCs/>
                <w:i w:val="false"/>
                <w:iCs w:val="false"/>
              </w:rPr>
              <w:t xml:space="preserve">3.5.2.1</w:t>
            </w:r>
            <w:r>
              <w:rPr>
                <w:b w:val="false"/>
                <w:bCs w:val="false"/>
                <w:i w:val="false"/>
                <w:iCs w:val="false"/>
              </w:rPr>
              <w:t xml:space="preserve"> Site survey: dimensions, infrastructure, structure, electrical load, environment, renovation needs and drawings.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a site survey verifies dimensions, structural suitability, electrical load capacity and environmental conditions, identifies renovation requirements and leads to implementation drawings and designs, with the ICT Site Preparation Guide setting loads, power, heat and clearances. As clarified in the Responses to Queries 003, NRB coordinates Buildings Department approval of the structural and electrical designs. [GAP: Only equipment positions, delivery routes and the ICT Site Preparation Guide are described. The structural, electrical load and environmental assessments and the implementation drawings are not. As clarified in the Responses to Queries 04, the ground floor plan is provided and a further site visit may be arranged.]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2.3 and 2.4; System Architecture Section 13.1</w:t>
            </w:r>
          </w:p>
        </w:tc>
      </w:tr>
      <w:tr>
        <w:tc>
          <w:tcPr>
            <w:tcW w:type="dxa" w:w="2110"/>
            <w:tcMar>
              <w:top w:type="dxa" w:w="60"/>
              <w:left w:type="dxa" w:w="100"/>
              <w:bottom w:type="dxa" w:w="60"/>
              <w:right w:type="dxa" w:w="100"/>
            </w:tcMar>
          </w:tcPr>
          <w:p>
            <w:pPr>
              <w:spacing w:after="0" w:before="0"/>
            </w:pPr>
            <w:r>
              <w:rPr>
                <w:b/>
                <w:bCs/>
                <w:i w:val="false"/>
                <w:iCs w:val="false"/>
              </w:rPr>
              <w:t xml:space="preserve">3.5.3.1.1</w:t>
            </w:r>
            <w:r>
              <w:rPr>
                <w:b w:val="false"/>
                <w:bCs w:val="false"/>
                <w:i w:val="false"/>
                <w:iCs w:val="false"/>
              </w:rPr>
              <w:t xml:space="preserve"> Internal refurbishment: partitions, finishes, soundproofing, ceilings, anti-static and raised floors, doors, windows.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carry out partitioning, wall finishing and painting, soundproofing, ceiling and floor finishing, anti-static and raised flooring where required, door installation and replacement, and window reinforcement, all to the approved room layout. Raised floor records are delivered with the facility documentation. [GAP: The four proposal documents defer this to 'the facility works', which has no document of its own. Only raised floor records are mentioned. The refurbishment items need describing in the facility works plan.]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 and 2.10;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3.5.3.1.2</w:t>
            </w:r>
            <w:r>
              <w:rPr>
                <w:b w:val="false"/>
                <w:bCs w:val="false"/>
                <w:i w:val="false"/>
                <w:iCs w:val="false"/>
              </w:rPr>
              <w:t xml:space="preserve"> Construct secure areas: personalization, blank card store, consumables, QA, destruction, mailing, server and control rooms.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Separated secure areas are built for card personalization, blank card storage sized for all 2,000,000 cards, consumables storage, quality assurance, secure destruction, packaging and mailing, the server room, the control room and operator workspaces, so that stock reconciliation rests on physically controlled custody. [GAP: System Architecture Section 9.5 names the blank card store, personalization, data processing and destruction areas, and System Architecture Section 10.7 the control room. The consumables store, quality assurance room, packaging and mailing room and operator workspaces are not named.]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6.10, 9.5 and 10.7; Preliminary Project Plan Section 2.7</w:t>
            </w:r>
          </w:p>
        </w:tc>
      </w:tr>
      <w:tr>
        <w:tc>
          <w:tcPr>
            <w:tcW w:type="dxa" w:w="2110"/>
            <w:tcMar>
              <w:top w:type="dxa" w:w="60"/>
              <w:left w:type="dxa" w:w="100"/>
              <w:bottom w:type="dxa" w:w="60"/>
              <w:right w:type="dxa" w:w="100"/>
            </w:tcMar>
          </w:tcPr>
          <w:p>
            <w:pPr>
              <w:spacing w:after="0" w:before="0"/>
            </w:pPr>
            <w:r>
              <w:rPr>
                <w:b/>
                <w:bCs/>
                <w:i w:val="false"/>
                <w:iCs w:val="false"/>
              </w:rPr>
              <w:t xml:space="preserve">3.5.3.1.3</w:t>
            </w:r>
            <w:r>
              <w:rPr>
                <w:b w:val="false"/>
                <w:bCs w:val="false"/>
                <w:i w:val="false"/>
                <w:iCs w:val="false"/>
              </w:rPr>
              <w:t xml:space="preserve"> Physical reinforcement: burglar-proofing, reinforced doors, secure locks, security cages, vaults.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install burglar-proofing, reinforced doors, secure locks, security cages and secure storage installations for the blank card store and the destruction area, with entry under biometric access control and every opening logged and correlated with system activity. [GAP: The four proposal documents defer this to 'the facility works', which has no document of its own. Physical reinforcement is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9.5; Cybersecurity Risk Management Plan Sections 5.2 and 10</w:t>
            </w:r>
          </w:p>
        </w:tc>
      </w:tr>
      <w:tr>
        <w:tc>
          <w:tcPr>
            <w:tcW w:type="dxa" w:w="2110"/>
            <w:tcMar>
              <w:top w:type="dxa" w:w="60"/>
              <w:left w:type="dxa" w:w="100"/>
              <w:bottom w:type="dxa" w:w="60"/>
              <w:right w:type="dxa" w:w="100"/>
            </w:tcMar>
          </w:tcPr>
          <w:p>
            <w:pPr>
              <w:spacing w:after="0" w:before="0"/>
            </w:pPr>
            <w:r>
              <w:rPr>
                <w:b/>
                <w:bCs/>
                <w:i w:val="false"/>
                <w:iCs w:val="false"/>
              </w:rPr>
              <w:t xml:space="preserve">3.5.4.1</w:t>
            </w:r>
            <w:r>
              <w:rPr>
                <w:b w:val="false"/>
                <w:bCs w:val="false"/>
                <w:i w:val="false"/>
                <w:iCs w:val="false"/>
              </w:rPr>
              <w:t xml:space="preserve"> Complete electrical infrastructure: circuits, boards, protection, earthing, lightning protection, outlets, emergency lighting.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new electrical installation provides dedicated circuits, distribution boards, protection, isolators and breakers, earthing, lightning protection, outlets, cable management and emergency lighting, with UPS sized for production and server loads and generator support with automatic transfer. As clarified in the Responses to Queries 04, NRB supplies a dedicated power connection to the approved design. [GAP: Only UPS, generator, power distribution and grounding are described. Rewiring, protection devices, lightning protection and emergency lighting need describing in the facility works plan.]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9.5 and 13.1; Preliminary Project Plan Section 2.7</w:t>
            </w:r>
          </w:p>
        </w:tc>
      </w:tr>
      <w:tr>
        <w:tc>
          <w:tcPr>
            <w:tcW w:type="dxa" w:w="2110"/>
            <w:tcMar>
              <w:top w:type="dxa" w:w="60"/>
              <w:left w:type="dxa" w:w="100"/>
              <w:bottom w:type="dxa" w:w="60"/>
              <w:right w:type="dxa" w:w="100"/>
            </w:tcMar>
          </w:tcPr>
          <w:p>
            <w:pPr>
              <w:spacing w:after="0" w:before="0"/>
            </w:pPr>
            <w:r>
              <w:rPr>
                <w:b/>
                <w:bCs/>
                <w:i w:val="false"/>
                <w:iCs w:val="false"/>
              </w:rPr>
              <w:t xml:space="preserve">3.5.5.1</w:t>
            </w:r>
            <w:r>
              <w:rPr>
                <w:b w:val="false"/>
                <w:bCs w:val="false"/>
                <w:i w:val="false"/>
                <w:iCs w:val="false"/>
              </w:rPr>
              <w:t xml:space="preserve"> HVAC: precision cooling, air conditioning, ventilation, humidity control, monitoring, sensors, air filtration.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New HVAC provides air conditioning, ventilation and humidity control holding the production and secure areas at 18 to 27 degrees Celsius and 40 to 60 percent humidity, precision cooling for the server and personalization rooms, air filtration to the dust limit, and temperature and humidity sensors feeding monitoring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9.4, 9.5 and 12.2</w:t>
            </w:r>
          </w:p>
        </w:tc>
      </w:tr>
      <w:tr>
        <w:tc>
          <w:tcPr>
            <w:tcW w:type="dxa" w:w="2110"/>
            <w:tcMar>
              <w:top w:type="dxa" w:w="60"/>
              <w:left w:type="dxa" w:w="100"/>
              <w:bottom w:type="dxa" w:w="60"/>
              <w:right w:type="dxa" w:w="100"/>
            </w:tcMar>
          </w:tcPr>
          <w:p>
            <w:pPr>
              <w:spacing w:after="0" w:before="0"/>
            </w:pPr>
            <w:r>
              <w:rPr>
                <w:b/>
                <w:bCs/>
                <w:i w:val="false"/>
                <w:iCs w:val="false"/>
              </w:rPr>
              <w:t xml:space="preserve">3.5.6.1</w:t>
            </w:r>
            <w:r>
              <w:rPr>
                <w:b w:val="false"/>
                <w:bCs w:val="false"/>
                <w:i w:val="false"/>
                <w:iCs w:val="false"/>
              </w:rPr>
              <w:t xml:space="preserve"> Structured ICT cabling: LAN, fiber, racks, patch panels, trays, outlets, labeling, data center racks.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Structured LAN cabling, fiber where required, network cabinets and racks with rack power distribution, patch panels, cable trays and conduits, network outlets and labeling are installed to the approved room layout, with data center rack arrangements in the server room. Cable management and labeling are verified in pre-commissioning. [GAP: Fiber cabling, cable trays, conduits and network outlets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9.4 and 9.5; Preliminary Project Plan Section 4.5</w:t>
            </w:r>
          </w:p>
        </w:tc>
      </w:tr>
      <w:tr>
        <w:tc>
          <w:tcPr>
            <w:tcW w:type="dxa" w:w="2110"/>
            <w:tcMar>
              <w:top w:type="dxa" w:w="60"/>
              <w:left w:type="dxa" w:w="100"/>
              <w:bottom w:type="dxa" w:w="60"/>
              <w:right w:type="dxa" w:w="100"/>
            </w:tcMar>
          </w:tcPr>
          <w:p>
            <w:pPr>
              <w:spacing w:after="0" w:before="0"/>
            </w:pPr>
            <w:r>
              <w:rPr>
                <w:b/>
                <w:bCs/>
                <w:i w:val="false"/>
                <w:iCs w:val="false"/>
              </w:rPr>
              <w:t xml:space="preserve">3.5.6.2</w:t>
            </w:r>
            <w:r>
              <w:rPr>
                <w:b w:val="false"/>
                <w:bCs w:val="false"/>
                <w:i w:val="false"/>
                <w:iCs w:val="false"/>
              </w:rPr>
              <w:t xml:space="preserve"> All cabling complies with internationally recognized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structured cabling is designed, installed, labeled and tested to internationally recognized structured cabling standards, and the cabling records are delivered with the facility documentation. Connectivity, throughput and redundancy are verified in the network infrastructure pre-commissioning test. [GAP: No cabling standard is named. Name the standards in the facility works plan, for example ISO/IEC 11801 or ANSI/TIA-568.]</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4.5</w:t>
            </w:r>
          </w:p>
        </w:tc>
      </w:tr>
      <w:tr>
        <w:tc>
          <w:tcPr>
            <w:tcW w:type="dxa" w:w="2110"/>
            <w:tcMar>
              <w:top w:type="dxa" w:w="60"/>
              <w:left w:type="dxa" w:w="100"/>
              <w:bottom w:type="dxa" w:w="60"/>
              <w:right w:type="dxa" w:w="100"/>
            </w:tcMar>
          </w:tcPr>
          <w:p>
            <w:pPr>
              <w:spacing w:after="0" w:before="0"/>
            </w:pPr>
            <w:r>
              <w:rPr>
                <w:b/>
                <w:bCs/>
                <w:i w:val="false"/>
                <w:iCs w:val="false"/>
              </w:rPr>
              <w:t xml:space="preserve">3.5.7.1.1</w:t>
            </w:r>
            <w:r>
              <w:rPr>
                <w:b w:val="false"/>
                <w:bCs w:val="false"/>
                <w:i w:val="false"/>
                <w:iCs w:val="false"/>
              </w:rPr>
              <w:t xml:space="preserve"> Access control: biometric, smart card, role-based zones and access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Biometric access control, with smart card credentials, enforces role-based access zones for the server room, production area and secure stores, and every entry, including escorted visitors, is logged. Access events feed security monitoring, so a privileged session opened from a room no authorized person has entered raises an alert. [GAP: Smart card access and role-based zones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9.5 and 10.7; Cybersecurity Risk Management Plan Section 10</w:t>
            </w:r>
          </w:p>
        </w:tc>
      </w:tr>
      <w:tr>
        <w:tc>
          <w:tcPr>
            <w:tcW w:type="dxa" w:w="2110"/>
            <w:tcMar>
              <w:top w:type="dxa" w:w="60"/>
              <w:left w:type="dxa" w:w="100"/>
              <w:bottom w:type="dxa" w:w="60"/>
              <w:right w:type="dxa" w:w="100"/>
            </w:tcMar>
          </w:tcPr>
          <w:p>
            <w:pPr>
              <w:spacing w:after="0" w:before="0"/>
            </w:pPr>
            <w:r>
              <w:rPr>
                <w:b/>
                <w:bCs/>
                <w:i w:val="false"/>
                <w:iCs w:val="false"/>
              </w:rPr>
              <w:t xml:space="preserve">3.5.7.1.2</w:t>
            </w:r>
            <w:r>
              <w:rPr>
                <w:b w:val="false"/>
                <w:bCs w:val="false"/>
                <w:i w:val="false"/>
                <w:iCs w:val="false"/>
              </w:rPr>
              <w:t xml:space="preserve"> CCTV: internal and external cameras, recording, centralized monitoring, long-term storage.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Internal and external closed circuit television cameras cover the production area, secure stores, server room and perimeter, recording to a video recording system with centralized monitoring and long-term storage under a defined retention period. [GAP: System Architecture Section 9.5 states only closed circuit television with defined retention. Camera coverage, recording, monitoring and the retention period need specifying.]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9.5</w:t>
            </w:r>
          </w:p>
        </w:tc>
      </w:tr>
      <w:tr>
        <w:tc>
          <w:tcPr>
            <w:tcW w:type="dxa" w:w="2110"/>
            <w:tcMar>
              <w:top w:type="dxa" w:w="60"/>
              <w:left w:type="dxa" w:w="100"/>
              <w:bottom w:type="dxa" w:w="60"/>
              <w:right w:type="dxa" w:w="100"/>
            </w:tcMar>
          </w:tcPr>
          <w:p>
            <w:pPr>
              <w:spacing w:after="0" w:before="0"/>
            </w:pPr>
            <w:r>
              <w:rPr>
                <w:b/>
                <w:bCs/>
                <w:i w:val="false"/>
                <w:iCs w:val="false"/>
              </w:rPr>
              <w:t xml:space="preserve">3.5.7.1.3</w:t>
            </w:r>
            <w:r>
              <w:rPr>
                <w:b w:val="false"/>
                <w:bCs w:val="false"/>
                <w:i w:val="false"/>
                <w:iCs w:val="false"/>
              </w:rPr>
              <w:t xml:space="preserve"> Intrusion detection: motion sensors, door sensors, alarm and panic alarm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Intrusion detection with motion sensors, door sensors, alarm systems and panic alarms is installed across the facility, and intrusion alarm events feed the security information and event management system for correlation with system events. [GAP: Sensor types and panic alarms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9.5 and 10.7; Cybersecurity Risk Management Plan Section 10</w:t>
            </w:r>
          </w:p>
        </w:tc>
      </w:tr>
      <w:tr>
        <w:tc>
          <w:tcPr>
            <w:tcW w:type="dxa" w:w="2110"/>
            <w:tcMar>
              <w:top w:type="dxa" w:w="60"/>
              <w:left w:type="dxa" w:w="100"/>
              <w:bottom w:type="dxa" w:w="60"/>
              <w:right w:type="dxa" w:w="100"/>
            </w:tcMar>
          </w:tcPr>
          <w:p>
            <w:pPr>
              <w:spacing w:after="0" w:before="0"/>
            </w:pPr>
            <w:r>
              <w:rPr>
                <w:b/>
                <w:bCs/>
                <w:i w:val="false"/>
                <w:iCs w:val="false"/>
              </w:rPr>
              <w:t xml:space="preserve">3.5.7.1.4</w:t>
            </w:r>
            <w:r>
              <w:rPr>
                <w:b w:val="false"/>
                <w:bCs w:val="false"/>
                <w:i w:val="false"/>
                <w:iCs w:val="false"/>
              </w:rPr>
              <w:t xml:space="preserve"> Security monitoring: centralized console, audit trail generation and event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security console in the control room presents alerts and dashboards from the security information and event management system, which collects physical access control, intrusion alarm and environmental events alongside system events. Audit records are written to tamper-proof storage, and all events are logged against a common time source.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10.6 and 10.7; Cybersecurity Risk Management Plan Section 10</w:t>
            </w:r>
          </w:p>
        </w:tc>
      </w:tr>
      <w:tr>
        <w:tc>
          <w:tcPr>
            <w:tcW w:type="dxa" w:w="2110"/>
            <w:tcMar>
              <w:top w:type="dxa" w:w="60"/>
              <w:left w:type="dxa" w:w="100"/>
              <w:bottom w:type="dxa" w:w="60"/>
              <w:right w:type="dxa" w:w="100"/>
            </w:tcMar>
          </w:tcPr>
          <w:p>
            <w:pPr>
              <w:spacing w:after="0" w:before="0"/>
            </w:pPr>
            <w:r>
              <w:rPr>
                <w:b/>
                <w:bCs/>
                <w:i w:val="false"/>
                <w:iCs w:val="false"/>
              </w:rPr>
              <w:t xml:space="preserve">3.5.8.1</w:t>
            </w:r>
            <w:r>
              <w:rPr>
                <w:b w:val="false"/>
                <w:bCs w:val="false"/>
                <w:i w:val="false"/>
                <w:iCs w:val="false"/>
              </w:rPr>
              <w:t xml:space="preserve"> Fire protection: detection, smoke and heat detectors, alarms, extinguishers, clean agent suppression, evacuation signage.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with smoke and heat detectors and fire alarms, covers the whole facility. Clean agent suppression protects the server room, suppression appropriate to a production area and fire extinguishers serve elsewhere, and emergency evacuation signage is installed. [GAP: Detector types, extinguishers and evacuation signage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9.5</w:t>
            </w:r>
          </w:p>
        </w:tc>
      </w:tr>
      <w:tr>
        <w:tc>
          <w:tcPr>
            <w:tcW w:type="dxa" w:w="2110"/>
            <w:tcMar>
              <w:top w:type="dxa" w:w="60"/>
              <w:left w:type="dxa" w:w="100"/>
              <w:bottom w:type="dxa" w:w="60"/>
              <w:right w:type="dxa" w:w="100"/>
            </w:tcMar>
          </w:tcPr>
          <w:p>
            <w:pPr>
              <w:spacing w:after="0" w:before="0"/>
            </w:pPr>
            <w:r>
              <w:rPr>
                <w:b/>
                <w:bCs/>
                <w:i w:val="false"/>
                <w:iCs w:val="false"/>
              </w:rPr>
              <w:t xml:space="preserve">3.5.8.2</w:t>
            </w:r>
            <w:r>
              <w:rPr>
                <w:b w:val="false"/>
                <w:bCs w:val="false"/>
                <w:i w:val="false"/>
                <w:iCs w:val="false"/>
              </w:rPr>
              <w:t xml:space="preserve"> Fire systems comply with relevant fire safety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alarm and suppression systems are designed, installed and tested to the fire safety standards applicable in Malawi and to recognized international standards for detection and clean agent suppression, with fire suppression records delivered with the facility documentation. [GAP: No fire safety standard is named. Name them in the facility works plan, for example NFPA 72 and NFPA 2001 or the BS EN equivalents.]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w:t>
            </w:r>
          </w:p>
        </w:tc>
      </w:tr>
      <w:tr>
        <w:tc>
          <w:tcPr>
            <w:tcW w:type="dxa" w:w="2110"/>
            <w:tcMar>
              <w:top w:type="dxa" w:w="60"/>
              <w:left w:type="dxa" w:w="100"/>
              <w:bottom w:type="dxa" w:w="60"/>
              <w:right w:type="dxa" w:w="100"/>
            </w:tcMar>
          </w:tcPr>
          <w:p>
            <w:pPr>
              <w:spacing w:after="0" w:before="0"/>
            </w:pPr>
            <w:r>
              <w:rPr>
                <w:b/>
                <w:bCs/>
                <w:i w:val="false"/>
                <w:iCs w:val="false"/>
              </w:rPr>
              <w:t xml:space="preserve">3.5.9.1</w:t>
            </w:r>
            <w:r>
              <w:rPr>
                <w:b w:val="false"/>
                <w:bCs w:val="false"/>
                <w:i w:val="false"/>
                <w:iCs w:val="false"/>
              </w:rPr>
              <w:t xml:space="preserve"> Fit-out: workstations, ergonomic furniture, line layout, equipment positions, QC and consumables stations, waste disposal.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production floor is fitted out to the approved layout, with equipment positions and clearances set in the ICT Site Preparation Guide, operator workstations with ergonomic furniture, quality control and consumables handling stations, and secure waste disposal through the controlled destruction area under dual custody. [GAP: Ergonomic furniture and the quality control and consumables handling stations are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2.4 and 4.5; System Architecture Sections 6.10 and 9.4</w:t>
            </w:r>
          </w:p>
        </w:tc>
      </w:tr>
      <w:tr>
        <w:tc>
          <w:tcPr>
            <w:tcW w:type="dxa" w:w="2110"/>
            <w:tcMar>
              <w:top w:type="dxa" w:w="60"/>
              <w:left w:type="dxa" w:w="100"/>
              <w:bottom w:type="dxa" w:w="60"/>
              <w:right w:type="dxa" w:w="100"/>
            </w:tcMar>
          </w:tcPr>
          <w:p>
            <w:pPr>
              <w:spacing w:after="0" w:before="0"/>
            </w:pPr>
            <w:r>
              <w:rPr>
                <w:b/>
                <w:bCs/>
                <w:i w:val="false"/>
                <w:iCs w:val="false"/>
              </w:rPr>
              <w:t xml:space="preserve">3.5.10.1</w:t>
            </w:r>
            <w:r>
              <w:rPr>
                <w:b w:val="false"/>
                <w:bCs w:val="false"/>
                <w:i w:val="false"/>
                <w:iCs w:val="false"/>
              </w:rPr>
              <w:t xml:space="preserve"> Health, safety and environmental compliance, waste disposal and hazard management during renovation.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Renovation is carried out under the Occupational Health and Safety Plan, the Environmental and Social Management Plan and the Waste Management Plan submitted with the proposal, covering safe working practices, environmental compliance, segregation and disposal of construction, electronic and hazardous waste, and hazard management during the works. [GAP: These plans are mandatory under PDS ITP 11.2(j) but are not in the repository. Prepare them and make sure they cover the renovation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Occupational Health and Safety Plan; Attachment: Environmental and Social Management Plan; Attachment: Waste Management Plan; System Architecture Section 10.8</w:t>
            </w:r>
          </w:p>
        </w:tc>
      </w:tr>
      <w:tr>
        <w:tc>
          <w:tcPr>
            <w:tcW w:type="dxa" w:w="2110"/>
            <w:tcMar>
              <w:top w:type="dxa" w:w="60"/>
              <w:left w:type="dxa" w:w="100"/>
              <w:bottom w:type="dxa" w:w="60"/>
              <w:right w:type="dxa" w:w="100"/>
            </w:tcMar>
          </w:tcPr>
          <w:p>
            <w:pPr>
              <w:spacing w:after="0" w:before="0"/>
            </w:pPr>
            <w:r>
              <w:rPr>
                <w:b/>
                <w:bCs/>
                <w:i w:val="false"/>
                <w:iCs w:val="false"/>
              </w:rPr>
              <w:t xml:space="preserve">3.5.11.1</w:t>
            </w:r>
            <w:r>
              <w:rPr>
                <w:b w:val="false"/>
                <w:bCs w:val="false"/>
                <w:i w:val="false"/>
                <w:iCs w:val="false"/>
              </w:rPr>
              <w:t xml:space="preserve"> Test and commission all facility systems, including integrated, load and operational readiness testing.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Electrical, HVAC, environmental, fire and physical security systems are tested and commissioned under the facility works. The Pre-Commissioning Test Program, as amended by Addendum No. 2, then covers network and cabling, access control, production workflow simulation, performance and capacity under load, and pilot production readiness, followed by the operational acceptance tests. [GAP: The electrical power and environmental systems tests of Table A are marked as performed under the facility works, with no test plan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4.5 and 4.6</w:t>
            </w:r>
          </w:p>
        </w:tc>
      </w:tr>
      <w:tr>
        <w:tc>
          <w:tcPr>
            <w:tcW w:type="dxa" w:w="2110"/>
            <w:tcMar>
              <w:top w:type="dxa" w:w="60"/>
              <w:left w:type="dxa" w:w="100"/>
              <w:bottom w:type="dxa" w:w="60"/>
              <w:right w:type="dxa" w:w="100"/>
            </w:tcMar>
          </w:tcPr>
          <w:p>
            <w:pPr>
              <w:spacing w:after="0" w:before="0"/>
            </w:pPr>
            <w:r>
              <w:rPr>
                <w:b/>
                <w:bCs/>
                <w:i w:val="false"/>
                <w:iCs w:val="false"/>
              </w:rPr>
              <w:t xml:space="preserve">3.5.12.1</w:t>
            </w:r>
            <w:r>
              <w:rPr>
                <w:b w:val="false"/>
                <w:bCs w:val="false"/>
                <w:i w:val="false"/>
                <w:iCs w:val="false"/>
              </w:rPr>
              <w:t xml:space="preserve"> Provide as-built drawings, test reports, manuals, warranties, configuration documents and maintenance schedules.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As-built documentation, test reports, equipment and maintenance manuals, warranty certificates, configuration documents and the preventive maintenance calendar are delivered for the Information System. Equivalent records for the electrical, UPS, generator, HVAC, fire suppression, access control, CCTV, cabling and raised floor installations are delivered with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5.4</w:t>
            </w:r>
          </w:p>
        </w:tc>
      </w:tr>
      <w:tr>
        <w:tc>
          <w:tcPr>
            <w:tcW w:type="dxa" w:w="2110"/>
            <w:tcMar>
              <w:top w:type="dxa" w:w="60"/>
              <w:left w:type="dxa" w:w="100"/>
              <w:bottom w:type="dxa" w:w="60"/>
              <w:right w:type="dxa" w:w="100"/>
            </w:tcMar>
          </w:tcPr>
          <w:p>
            <w:pPr>
              <w:spacing w:after="0" w:before="0"/>
            </w:pPr>
            <w:r>
              <w:rPr>
                <w:b/>
                <w:bCs/>
                <w:i w:val="false"/>
                <w:iCs w:val="false"/>
              </w:rPr>
              <w:t xml:space="preserve">3.5.13.1</w:t>
            </w:r>
            <w:r>
              <w:rPr>
                <w:b w:val="false"/>
                <w:bCs w:val="false"/>
                <w:i w:val="false"/>
                <w:iCs w:val="false"/>
              </w:rPr>
              <w:t xml:space="preserve"> Training on facility operations, electrical, HVAC, fire, security, maintenance and emergency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Training on facility operations and the electrical, HVAC, fire and physical security systems, their preventive maintenance and emergency procedures is delivered under the facility works. It complements the Information System training, which covers emergency stops and safe working at the lines and includes a facility management participant in management training. [GAP: The facility training curriculum, trainees and schedule are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3.1, 3.2 and 3.8</w:t>
            </w:r>
          </w:p>
        </w:tc>
      </w:tr>
      <w:tr>
        <w:tc>
          <w:tcPr>
            <w:tcW w:type="dxa" w:w="2110"/>
            <w:tcMar>
              <w:top w:type="dxa" w:w="60"/>
              <w:left w:type="dxa" w:w="100"/>
              <w:bottom w:type="dxa" w:w="60"/>
              <w:right w:type="dxa" w:w="100"/>
            </w:tcMar>
          </w:tcPr>
          <w:p>
            <w:pPr>
              <w:spacing w:after="0" w:before="0"/>
            </w:pPr>
            <w:r>
              <w:rPr>
                <w:b/>
                <w:bCs/>
                <w:i w:val="false"/>
                <w:iCs w:val="false"/>
              </w:rPr>
              <w:t xml:space="preserve">3.5.14.1</w:t>
            </w:r>
            <w:r>
              <w:rPr>
                <w:b w:val="false"/>
                <w:bCs w:val="false"/>
                <w:i w:val="false"/>
                <w:iCs w:val="false"/>
              </w:rPr>
              <w:t xml:space="preserve"> Defect liability period, workmanship and equipment warranties, and maintenance support during warranty.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equipment, systems and services supplied are covered by a three-year warranty from Final Acceptance, with preventive and corrective maintenance and 24/7 support throughout. Defect liability and the workmanship and equipment warranties for the power, HVAC, fire suppression and physical security installations are provided under the facility works. [GAP: The defect liability period for the facility works is not stated.]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5.1 and 5.4</w:t>
            </w:r>
          </w:p>
        </w:tc>
      </w:tr>
    </w:tbl>
    <w:p>
      <w:pPr>
        <w:spacing w:after="140"/>
      </w:pPr>
    </w:p>
    <w:p>
      <w:r>
        <w:br w:type="page"/>
      </w:r>
    </w:p>
    <w:p>
      <w:r>
        <w:br w:type="page"/>
      </w:r>
    </w:p>
    <w:p>
      <w:pPr>
        <w:pStyle w:val="Heading1"/>
        <w:numPr>
          <w:ilvl w:val="0"/>
          <w:numId w:val="2"/>
        </w:numPr>
        <w:spacing w:after="140" w:before="240"/>
      </w:pPr>
      <w:r>
        <w:t xml:space="preserve">T</w:t>
      </w:r>
      <w:bookmarkStart w:name="sec_4" w:id="1"/>
      <w:r>
        <w:rPr>
          <w:b w:val="false"/>
          <w:bCs w:val="false"/>
          <w:i w:val="false"/>
          <w:iCs w:val="false"/>
        </w:rPr>
        <w:t xml:space="preserve">esting and Quality Assurance Requirements</w:t>
      </w:r>
      <w:bookmarkEnd w:id="1"/>
    </w:p>
    <w:p>
      <w:pPr>
        <w:pStyle w:val="Heading2"/>
        <w:numPr>
          <w:ilvl w:val="1"/>
          <w:numId w:val="2"/>
        </w:numPr>
        <w:spacing w:after="140" w:before="260"/>
      </w:pPr>
      <w:r>
        <w:t xml:space="preserve">I</w:t>
      </w:r>
      <w:bookmarkStart w:name="sec_4_1" w:id="1"/>
      <w:r>
        <w:rPr>
          <w:b w:val="false"/>
          <w:bCs w:val="false"/>
          <w:i w:val="false"/>
          <w:iCs w:val="false"/>
        </w:rPr>
        <w:t xml:space="preserve">nspections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29"/>
        <w:gridCol w:w="2001"/>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2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4.1.1</w:t>
            </w:r>
            <w:r>
              <w:rPr>
                <w:b w:val="false"/>
                <w:bCs w:val="false"/>
                <w:i w:val="false"/>
                <w:iCs w:val="false"/>
              </w:rPr>
              <w:t xml:space="preserve"> Arrange Malawi team visits for FAT and training on laser personalization and mailing systems at the factory</w:t>
            </w:r>
          </w:p>
        </w:tc>
        <w:tc>
          <w:tcPr>
            <w:tcW w:type="dxa" w:w="5129"/>
            <w:tcMar>
              <w:top w:type="dxa" w:w="60"/>
              <w:left w:type="dxa" w:w="100"/>
              <w:bottom w:type="dxa" w:w="60"/>
              <w:right w:type="dxa" w:w="100"/>
            </w:tcMar>
          </w:tcPr>
          <w:p>
            <w:pPr>
              <w:spacing w:after="0" w:before="0"/>
            </w:pPr>
            <w:r>
              <w:rPr>
                <w:b w:val="false"/>
                <w:bCs w:val="false"/>
                <w:i w:val="false"/>
                <w:iCs w:val="false"/>
              </w:rPr>
              <w:t xml:space="preserve">Complies. Factory acceptance testing is held in week 17 at the equipment manufacturer's production facility, on the actual card stock, covering the personalization and mailing systems and witnessed by the NRB delegation. The manufacturer trains the delegation's technical staff there on equipment operation, calibration, preventive maintenance and first-line repair. Travel and boarding are borne by the Government of Malawi. [CONFIRM: The equipment manufacturer's written FAT hosting confirmation (Document Register item 1.9) must be obtained and attached; it is mandatory for clause 4.1.1.]</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2.5, 3.4 and 4.3; Attachment: FAT hosting confirmation</w:t>
            </w:r>
          </w:p>
        </w:tc>
      </w:tr>
      <w:tr>
        <w:tc>
          <w:tcPr>
            <w:tcW w:type="dxa" w:w="1890"/>
            <w:tcMar>
              <w:top w:type="dxa" w:w="60"/>
              <w:left w:type="dxa" w:w="100"/>
              <w:bottom w:type="dxa" w:w="60"/>
              <w:right w:type="dxa" w:w="100"/>
            </w:tcMar>
          </w:tcPr>
          <w:p>
            <w:pPr>
              <w:spacing w:after="0" w:before="0"/>
            </w:pPr>
            <w:r>
              <w:rPr>
                <w:b/>
                <w:bCs/>
                <w:i w:val="false"/>
                <w:iCs w:val="false"/>
              </w:rPr>
              <w:t xml:space="preserve">4.1.2</w:t>
            </w:r>
            <w:r>
              <w:rPr>
                <w:b w:val="false"/>
                <w:bCs w:val="false"/>
                <w:i w:val="false"/>
                <w:iCs w:val="false"/>
              </w:rPr>
              <w:t xml:space="preserve"> Provisions and methods for inspecting data center and ancillary equipment on delivery and unpacking</w:t>
            </w:r>
          </w:p>
        </w:tc>
        <w:tc>
          <w:tcPr>
            <w:tcW w:type="dxa" w:w="5129"/>
            <w:tcMar>
              <w:top w:type="dxa" w:w="60"/>
              <w:left w:type="dxa" w:w="100"/>
              <w:bottom w:type="dxa" w:w="60"/>
              <w:right w:type="dxa" w:w="100"/>
            </w:tcMar>
          </w:tcPr>
          <w:p>
            <w:pPr>
              <w:spacing w:after="0" w:before="0"/>
            </w:pPr>
            <w:r>
              <w:rPr>
                <w:b w:val="false"/>
                <w:bCs w:val="false"/>
                <w:i w:val="false"/>
                <w:iCs w:val="false"/>
              </w:rPr>
              <w:t xml:space="preserve">Complies. Inspection on delivery is a defined test level: as goods are unpacked and placed at the Card Production Facility, the Supplier and NRB jointly verify they arrived complete, undamaged and as ordered, in week 15 for ICT infrastructure and week 21 for equipment. Results go in a delivery inspection record, and equipment serial numbers are recorded. [GAP: The documents describe delivery inspection in one line only. The method itself is not described: checking against the packing list and purchase order, checking damage and shock indicators, capturing serial numbers at receipt, handling discrepancies and shortages, and NRB sign-off. Suggest adding a short delivery inspection procedure to Preliminary Project Plan Section 4.1.]</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2.5, 2.10 and 4.1</w:t>
            </w:r>
          </w:p>
        </w:tc>
      </w:tr>
    </w:tbl>
    <w:p>
      <w:pPr>
        <w:spacing w:after="140"/>
      </w:pPr>
    </w:p>
    <w:p>
      <w:pPr>
        <w:pStyle w:val="Heading2"/>
        <w:numPr>
          <w:ilvl w:val="1"/>
          <w:numId w:val="2"/>
        </w:numPr>
        <w:spacing w:after="140" w:before="260"/>
      </w:pPr>
      <w:r>
        <w:t xml:space="preserve">P</w:t>
      </w:r>
      <w:bookmarkStart w:name="sec_4_2" w:id="1"/>
      <w:r>
        <w:rPr>
          <w:b w:val="false"/>
          <w:bCs w:val="false"/>
          <w:i w:val="false"/>
          <w:iCs w:val="false"/>
        </w:rPr>
        <w:t xml:space="preserve">re-commissioning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09"/>
        <w:gridCol w:w="2001"/>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0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4.2.0</w:t>
            </w:r>
            <w:r>
              <w:rPr>
                <w:b w:val="false"/>
                <w:bCs w:val="false"/>
                <w:i w:val="false"/>
                <w:iCs w:val="false"/>
              </w:rPr>
              <w:t xml:space="preserve"> Supplier performs the listed tests, with Purchaser assistance, before Installation Certificate issue</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Beyond the manufacturer's standard set-up and commissioning, the Supplier performs all sixteen Table A tests with the Purchaser's assistance in weeks 19 to 26, the ICT estate from week 19 and the equipment from week 24. Successful completion and the Purchaser's approval of their reports are the entry criteria for the Installation Certificate gate in week 26.</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2.5, 4.5 and 4.7</w:t>
            </w:r>
          </w:p>
        </w:tc>
      </w:tr>
      <w:tr>
        <w:tc>
          <w:tcPr>
            <w:tcW w:type="dxa" w:w="2110"/>
            <w:tcMar>
              <w:top w:type="dxa" w:w="60"/>
              <w:left w:type="dxa" w:w="100"/>
              <w:bottom w:type="dxa" w:w="60"/>
              <w:right w:type="dxa" w:w="100"/>
            </w:tcMar>
          </w:tcPr>
          <w:p>
            <w:pPr>
              <w:spacing w:after="0" w:before="0"/>
            </w:pPr>
            <w:r>
              <w:rPr>
                <w:b/>
                <w:bCs/>
                <w:i w:val="false"/>
                <w:iCs w:val="false"/>
              </w:rPr>
              <w:t xml:space="preserve">4.2.1</w:t>
            </w:r>
            <w:r>
              <w:rPr>
                <w:b w:val="false"/>
                <w:bCs w:val="false"/>
                <w:i w:val="false"/>
                <w:iCs w:val="false"/>
              </w:rPr>
              <w:t xml:space="preserve"> Prepare, execute and document a full Pre-Commissioning Test Program; retest failures at no cost</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Pre-Commissioning Test Program covers the sixteen Table A tests across hardware, software, infrastructure, security, integration, operational and performance requirements, and is submitted for NRB approval in week 17. The Purchaser approves each test report before operational acceptance in week 27. A failed test is corrected and repeated at no cost, with every test the correction could affect.</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2.10, 4.1, 4.5 and 4.7</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w:t>
            </w:r>
            <w:r>
              <w:rPr>
                <w:b w:val="false"/>
                <w:bCs w:val="false"/>
                <w:i w:val="false"/>
                <w:iCs w:val="false"/>
              </w:rPr>
              <w:t xml:space="preserve"> Physical installation verification: placement, anchoring, cabling, racks, workstations and safety clearances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24, after the manufacturer's engineers have installed the equipment, the Supplier verifies placement and anchoring of the equipment, racks and workstations, cable management and labeling, and safety clearances. Building-level items are verified with the facility works, and rack elevations are fixed in the approved Low-Level Design. Output is the Physical Installation Verification Report.</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2.5, 2.10 and 4.5</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2</w:t>
            </w:r>
            <w:r>
              <w:rPr>
                <w:b w:val="false"/>
                <w:bCs w:val="false"/>
                <w:i w:val="false"/>
                <w:iCs w:val="false"/>
              </w:rPr>
              <w:t xml:space="preserve"> Electrical power tests: utility, UPS, distribution, load, transfer switch, earthing, voltage and frequency</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Electrical power testing is performed under the facility works, which install the uninterruptible power supply, generator support with automatic transfer, power distribution and grounding, and deliver the electrical system documentation. The Information System relies on that result, and thereafter monitors power and UPS status with threshold alerts. [GAP: Preliminary Project Plan Section 4.5 gives test 2 no week and no deliverable, and the test details (utility power, UPS, distribution, circuit load, automatic transfer switch, earthing, voltage and frequency measurements) and the Electrical Systems Test Report appear only in the facility works plan, which is not one of the four citable documents. Add the week, the bullets and the report to Preliminary Project Plan Section 4.5, or cross-reference the facility works test plan.]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2.10 and 4.5; System Architecture Sections 9.5 and 12.2</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3</w:t>
            </w:r>
            <w:r>
              <w:rPr>
                <w:b w:val="false"/>
                <w:bCs w:val="false"/>
                <w:i w:val="false"/>
                <w:iCs w:val="false"/>
              </w:rPr>
              <w:t xml:space="preserve"> Environmental tests: HVAC temperature, humidity and airflow; fire detection and suppression; water leak sensors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Environmental systems testing is performed under the facility works, which install air conditioning with humidity control, precision cooling, fire detection and clean agent suppression. Temperature, humidity and power readings then feed the System's monitoring and alerting, and environmental monitoring events feed security event management. [GAP: Preliminary Project Plan Section 4.5 gives test 3 no week and no deliverable, and the test details and the Environmental Systems Readiness Report are in the facility works plan, not in the four citable documents. Water leakage detection and airflow testing are not mentioned anywhere in the proposal. Confirm that leak sensors are in the facility works scope and add them to System Architecture Section 9.5 and the test to Preliminary Project Plan Section 4.5.]</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9.5, 10.7 and 12.2</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4</w:t>
            </w:r>
            <w:r>
              <w:rPr>
                <w:b w:val="false"/>
                <w:bCs w:val="false"/>
                <w:i w:val="false"/>
                <w:iCs w:val="false"/>
              </w:rPr>
              <w:t xml:space="preserve"> Network tests: LAN, WAN, redundancy, switching, throughput, latency, VLANs, DNS and DHCP</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19 the Supplier tests LAN and WAN connectivity, redundancy, switch function, throughput, latency, VLANs, DNS and DHCP, reported in the Network Acceptance Report. Each security zone is a separate VLAN routed only through the firewall pair, and wide area links run on the Government Wide Area Network that the Purchaser provisions.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2.7 and 4.5; System Architecture Section 9.2</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5</w:t>
            </w:r>
            <w:r>
              <w:rPr>
                <w:b w:val="false"/>
                <w:bCs w:val="false"/>
                <w:i w:val="false"/>
                <w:iCs w:val="false"/>
              </w:rPr>
              <w:t xml:space="preserve"> Cybersecurity tests: Active Directory, RBAC, password policy, firewall, anti-malware, endpoint, audit logging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19 the Supplier verifies Active Directory integration, role-based access, password policy, firewall rules, anti-malware, endpoint protection, log generation and event monitoring, reported in the Security Readiness Report. The password policy follows NIST SP 800-63B, and endpoint detection and response runs on every server, virtual machine and workstation. [CONFIRM: System Architecture Section 10.3 describes the System's own directory on three domain controllers, independent of NRB services, while the Responses to Queries 003 state that NRB will provide its existing Active Directory for integration. Confirm the directory product and how it integrates with NRB's Active Directory, and align the two statements.]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6.12, 10.3 and 10.7</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6</w:t>
            </w:r>
            <w:r>
              <w:rPr>
                <w:b w:val="false"/>
                <w:bCs w:val="false"/>
                <w:i w:val="false"/>
                <w:iCs w:val="false"/>
              </w:rPr>
              <w:t xml:space="preserve"> Personalization equipment tests: card feeding, laser engraving, printing alignment and quality, barcode and QR encoding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24 the Supplier tests hopper loading and automatic feeding, image, text and variable data engraving, alignment, greyscale consistency (the laser is monochrome) and QR encoding, with engraving quality verified in line on every card. As amended by Addendum 2, chip encoding is removed: the chipless card carries a signed QR code and a machine-readable card identifier. [CONFIRM: Table A test 6 as amended by Addendum 2 still lists barcode encoding (if applicable) and print quality, but Preliminary Project Plan Section 4.5 lists only alignment, greyscale consistency and QR encoding. Confirm the symbology of the machine-readable card identifier, and add its encoding and print quality to test 6 in Preliminary Project Plan Section 4.5.]</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3.2, 3.6 and 4.4;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7</w:t>
            </w:r>
            <w:r>
              <w:rPr>
                <w:b w:val="false"/>
                <w:bCs w:val="false"/>
                <w:i w:val="false"/>
                <w:iCs w:val="false"/>
              </w:rPr>
              <w:t xml:space="preserve"> Mailing system tests: envelope feeding, insertion, address printing, sorting and batch processing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24 the Supplier tests envelope feeding and insertion, address printing, sorting and batch processing, reported in the Mailing System Functional Test Report. Each line affixes one to four cards per carrier, inserts and seals automatically, prints the address on the carrier behind the envelope window, and outputs mail pieces sorted by destination.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5.2, 5.3 and 5.5;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8</w:t>
            </w:r>
            <w:r>
              <w:rPr>
                <w:b w:val="false"/>
                <w:bCs w:val="false"/>
                <w:i w:val="false"/>
                <w:iCs w:val="false"/>
              </w:rPr>
              <w:t xml:space="preserve"> Software tests: operating system, database, application, licenses, backup configuration and monitoring tools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19 the Supplier verifies operating systems, database, application installation, licenses, backup configuration and monitoring tools, reported in the Software Readiness Report. Installation uses hardened, version-controlled baseline templates from a central configuration repository, and every software title is held with its license terms in the classified software inventory.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6.14 and 12.1</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9</w:t>
            </w:r>
            <w:r>
              <w:rPr>
                <w:b w:val="false"/>
                <w:bCs w:val="false"/>
                <w:i w:val="false"/>
                <w:iCs w:val="false"/>
              </w:rPr>
              <w:t xml:space="preserve"> NRIS integration tests: API and web service connectivity, data retrieval, status updates, error handling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tests API and web service connectivity, secure communication, retrieval of demographic data, photograph and signature, status updates, and invalid record, missing data and communication failure handling. Error conditions are induced rather than inspected, and the NRIS interface uses mutual certificate authentication over TLS 1.2 or higher.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7.12, 7.16 and 10.5</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10</w:t>
            </w:r>
            <w:r>
              <w:rPr>
                <w:b w:val="false"/>
                <w:bCs w:val="false"/>
                <w:i w:val="false"/>
                <w:iCs w:val="false"/>
              </w:rPr>
              <w:t xml:space="preserve"> Data validation tests: field mapping, transformation, character encoding, completeness, duplicate detection</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verifies field mapping, transformation, character encoding, completeness and duplicate record detection, reported in the Data Integrity Verification Report. Mapping follows the Data Mapping and Transformation Document field by field, every record is validated before queuing, and a duplicate request is never queued twice.</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7.3 and 7.12</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11</w:t>
            </w:r>
            <w:r>
              <w:rPr>
                <w:b w:val="false"/>
                <w:bCs w:val="false"/>
                <w:i w:val="false"/>
                <w:iCs w:val="false"/>
              </w:rPr>
              <w:t xml:space="preserve"> Card security feature tests: engraving, ghost image, microtext, guilloche, background, UV, machine-readable elements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verifies laser engraving quality, the secondary (ghost) image, micro text, guilloche, security background, UV features and machine-readable elements, reported in the Card Security Features Verification Report. The card body features are those listed for the approved design, and the signed QR code and card identifier are read and validated on every card.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3.6, 4.2 and 4.4</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12</w:t>
            </w:r>
            <w:r>
              <w:rPr>
                <w:b w:val="false"/>
                <w:bCs w:val="false"/>
                <w:i w:val="false"/>
                <w:iCs w:val="false"/>
              </w:rPr>
              <w:t xml:space="preserve"> Quality control tests: automated inspection, defect detection, OCR, barcode and image quality</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verifies automated inspection, defect detection, OCR, barcode and image quality verification. Every card is verified in line, not sampled: engraved text by OCR, machine-readable codes on both faces, and the QR code compared byte for byte with its signed payload. Failing cards are rejected automatically and reproduced within the job.</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3.6 and 6.8;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13</w:t>
            </w:r>
            <w:r>
              <w:rPr>
                <w:b w:val="false"/>
                <w:bCs w:val="false"/>
                <w:i w:val="false"/>
                <w:iCs w:val="false"/>
              </w:rPr>
              <w:t xml:space="preserve"> Backup and recovery tests: backup, database and configuration restore, disaster recovery procedures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20 the Supplier tests backup execution, database and configuration restoration, and the disaster recovery procedures, including failover of the database and service virtual machines to the secondary environment in Blantyre. The recovery point and recovery time achieved are measured by inducing failure, not checked by inspection.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4.4 and 4.5; System Architecture Sections 9.3 and 12.3</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14</w:t>
            </w:r>
            <w:r>
              <w:rPr>
                <w:b w:val="false"/>
                <w:bCs w:val="false"/>
                <w:i w:val="false"/>
                <w:iCs w:val="false"/>
              </w:rPr>
              <w:t xml:space="preserve"> End-to-end workflow simulation from NRIS extraction to dispatch and status update</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simulates record retrieval from NRIS, job generation, personalization, quality inspection, mailing preparation, dispatch generation and status update to NRIS, against the NRIS test environment, reported in the Workflow Simulation Report. Status events are raised automatically at each stage, with no operator reporting.</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4.2 and 4.5; System Architecture Sections 2.2 and 7.11</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15</w:t>
            </w:r>
            <w:r>
              <w:rPr>
                <w:b w:val="false"/>
                <w:bCs w:val="false"/>
                <w:i w:val="false"/>
                <w:iCs w:val="false"/>
              </w:rPr>
              <w:t xml:space="preserve"> Pilot production of 500 to 1,000 test cards through actual production processes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26, 500 to 1,000 test cards are produced from NRIS test environment records through the full process to dispatch record and status update, operated by trainee operators, verifying data accuracy, print and engraving quality, mailing and reporting. As clarified in the Responses to Queries 003, test cards are not issued; they are destroyed under dual custody.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2.6 and 4.5; System Architecture Section 6.10</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16</w:t>
            </w:r>
            <w:r>
              <w:rPr>
                <w:b w:val="false"/>
                <w:bCs w:val="false"/>
                <w:i w:val="false"/>
                <w:iCs w:val="false"/>
              </w:rPr>
              <w:t xml:space="preserve"> Performance tests: sustained and peak card rates, batch processing and mailing throughput</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26 the Supplier demonstrates sustained and peak production rates, batch processing and mailing throughput: not less than 1,000 cards per hour per personalization line, 2,000 combined, and 2,000 completed mailers per hour across the two mailing lines, over the fourteen-hour day. As clarified in the Responses to Queries 003, throughput counts accepted finished cards. [CONFIRM: The equipment manufacturer must confirm in writing 1,000 accepted cards per hour per line with the full personalization content (risk R3 in Preliminary Project Plan Section 2.9). The proposal does not yet state that throughput is measured on accepted finished cards, as the Responses to Queries 003 require: add it to Preliminary Project Plan Section 4.6 and System Architecture Section 3.5. The MS1000 datasheet rates the mailing line at up to 1,000 cards per hour, so the mailing rate is at the datasheet maximum.]</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3.5, 11.1 and 11.6</w:t>
            </w:r>
          </w:p>
        </w:tc>
      </w:tr>
    </w:tbl>
    <w:p>
      <w:pPr>
        <w:spacing w:after="140"/>
      </w:pPr>
    </w:p>
    <w:p>
      <w:pPr>
        <w:pStyle w:val="Heading2"/>
        <w:numPr>
          <w:ilvl w:val="1"/>
          <w:numId w:val="2"/>
        </w:numPr>
        <w:spacing w:after="140" w:before="260"/>
      </w:pPr>
      <w:r>
        <w:t xml:space="preserve">O</w:t>
      </w:r>
      <w:bookmarkStart w:name="sec_4_3" w:id="1"/>
      <w:r>
        <w:rPr>
          <w:b w:val="false"/>
          <w:bCs w:val="false"/>
          <w:i w:val="false"/>
          <w:iCs w:val="false"/>
        </w:rPr>
        <w:t xml:space="preserve">perational acceptance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70"/>
        <w:gridCol w:w="4250"/>
        <w:gridCol w:w="2000"/>
      </w:tblGrid>
      <w:tr>
        <w:trPr>
          <w:tblHeader/>
        </w:trPr>
        <w:tc>
          <w:tcPr>
            <w:tcW w:type="dxa" w:w="27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770"/>
            <w:tcMar>
              <w:top w:type="dxa" w:w="60"/>
              <w:left w:type="dxa" w:w="100"/>
              <w:bottom w:type="dxa" w:w="60"/>
              <w:right w:type="dxa" w:w="100"/>
            </w:tcMar>
          </w:tcPr>
          <w:p>
            <w:pPr>
              <w:spacing w:after="0" w:before="0"/>
            </w:pPr>
            <w:r>
              <w:rPr>
                <w:b/>
                <w:bCs/>
                <w:i w:val="false"/>
                <w:iCs w:val="false"/>
              </w:rPr>
              <w:t xml:space="preserve">4.3.0</w:t>
            </w:r>
            <w:r>
              <w:rPr>
                <w:b w:val="false"/>
                <w:bCs w:val="false"/>
                <w:i w:val="false"/>
                <w:iCs w:val="false"/>
              </w:rPr>
              <w:t xml:space="preserve"> Purchaser, assisted by Supplier, performs the listed tests after Installation for Operational Acceptance</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Once the Installation Certificate is issued, the Purchaser performs the seventeen Table B tests in weeks 27 to 30 with the Supplier's assistance, and their successful completion is the condition for the Operational Acceptance Certificate. Each test is rehearsed in pre-commissioning, so acceptance confirms a known result rather than finding defects.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2.8, 4.6 and 4.7</w:t>
            </w:r>
          </w:p>
        </w:tc>
      </w:tr>
      <w:tr>
        <w:tc>
          <w:tcPr>
            <w:tcW w:type="dxa" w:w="2770"/>
            <w:tcMar>
              <w:top w:type="dxa" w:w="60"/>
              <w:left w:type="dxa" w:w="100"/>
              <w:bottom w:type="dxa" w:w="60"/>
              <w:right w:type="dxa" w:w="100"/>
            </w:tcMar>
          </w:tcPr>
          <w:p>
            <w:pPr>
              <w:spacing w:after="0" w:before="0"/>
            </w:pPr>
            <w:r>
              <w:rPr>
                <w:b/>
                <w:bCs/>
                <w:i w:val="false"/>
                <w:iCs w:val="false"/>
              </w:rPr>
              <w:t xml:space="preserve">4.3.1</w:t>
            </w:r>
            <w:r>
              <w:rPr>
                <w:b w:val="false"/>
                <w:bCs w:val="false"/>
                <w:i w:val="false"/>
                <w:iCs w:val="false"/>
              </w:rPr>
              <w:t xml:space="preserve"> Live-production OAT confirming stability, throughput, security, integrity, NRIS interoperability and independence; prerequisite for acceptance and warranty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Inkript assists the Purchaser in running the seventeen Table B tests in the live production environment in weeks 27 to 30, each measured by a method agreed with NRB in the operational acceptance test procedures issued in week 24. Their completion is the Operational Acceptance gate in week 30, from which post-Operational Acceptance technical assistance starts. [CONFIRM: Two points to settle. (1) The Responses to Queries 003 state that acceptance tests run against the NRIS test environment and test cards are not issued, while Preliminary Project Plan Section 2.6 and Preliminary Project Plan Section 4.6 plan operational acceptance on real NRIS records. Confirm with NRB which data the OAT uses. (2) Clause 4.3.1 ties warranty commencement to OAT completion, but Preliminary Project Plan Section 5.1 starts the warranty at Final Acceptance (SCC GCC 29.4); align the wording.]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2.6, 2.10, 4.6, 4.7 and 5.1</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w:t>
            </w:r>
            <w:r>
              <w:rPr>
                <w:b w:val="false"/>
                <w:bCs w:val="false"/>
                <w:i w:val="false"/>
                <w:iCs w:val="false"/>
              </w:rPr>
              <w:t xml:space="preserve"> End-to-end workflow test: 100% records processed automatically with NRIS status and audit trail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all test records flow from NRIS through personalization, quality control, mailing and dispatch to status update without manual intervention. Status events are published to NRIS automatically at each stage, and every stage writes against the National Identity Number and card serial number, giving a full audit trail per transaction. Rehearsed as pre-commissioning test 14.</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7.11 and 7.14</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2</w:t>
            </w:r>
            <w:r>
              <w:rPr>
                <w:b w:val="false"/>
                <w:bCs w:val="false"/>
                <w:i w:val="false"/>
                <w:iCs w:val="false"/>
              </w:rPr>
              <w:t xml:space="preserve"> Sustained production stability: continuous operation, availability at least 99%, no severity 1 failures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production runs continuously over the defined period, requiring availability of not less than 99 percent, measured with the exclusions in System Architecture Section 9.3, and no severity 1 failure. Clustered hosts, independent laser stations and two independent lines mean a component failure reduces throughput rather than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3.4 and 9.3</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3</w:t>
            </w:r>
            <w:r>
              <w:rPr>
                <w:b w:val="false"/>
                <w:bCs w:val="false"/>
                <w:i w:val="false"/>
                <w:iCs w:val="false"/>
              </w:rPr>
              <w:t xml:space="preserve"> Throughput compliance: contractual cards per hour and mail items per hour, no backlog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per hour and mail items per hour are measured across both lines over the fourteen-hour day against the contractual minimum of 2,000 per hour combined, counting accepted finished cards as clarified in the Responses to Queries 003. Mailing capacity matches personalization line for line, and buffer modules absorb short stoppages, so no backlog accumulates. [CONFIRM: Depends on the equipment manufacturer confirming 1,000 accepted cards per hour per line with the full personalization content (risk R3 in Preliminary Project Plan Section 2.9). The throughput basis in Preliminary Project Plan Section 4.6 says cards per hour, not accepted finished cards; align it with the Responses to Queries 003.]</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3.5, 5.6 and 11.1</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4</w:t>
            </w:r>
            <w:r>
              <w:rPr>
                <w:b w:val="false"/>
                <w:bCs w:val="false"/>
                <w:i w:val="false"/>
                <w:iCs w:val="false"/>
              </w:rPr>
              <w:t xml:space="preserve"> Peak load test: no failures or data loss, response times met, throughput at least 95%</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simulated peak workload is applied with all components operating, requiring no failure or data loss, response times within the stated thresholds, and throughput of at least 95 percent of the nominal capacity of 2,000 cards per hour. Load, stress and transaction integrity testing at peak precede it.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3.5, 11.2 and 11.6</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5</w:t>
            </w:r>
            <w:r>
              <w:rPr>
                <w:b w:val="false"/>
                <w:bCs w:val="false"/>
                <w:i w:val="false"/>
                <w:iCs w:val="false"/>
              </w:rPr>
              <w:t xml:space="preserve"> Data accuracy test: at least 99.99% accuracy, no mismatch, loss or duplication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data on produced cards, read by in-line verification, is compared with the NRIS source record, requiring at least 99.99 percent accuracy and no mismatch, loss or duplication. Every card is checked: engraved text by OCR against the source record, and the QR code carrying the biometric data byte for byte against its signed payload.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4.5 and 6.8</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6</w:t>
            </w:r>
            <w:r>
              <w:rPr>
                <w:b w:val="false"/>
                <w:bCs w:val="false"/>
                <w:i w:val="false"/>
                <w:iCs w:val="false"/>
              </w:rPr>
              <w:t xml:space="preserve"> NRIS business process test: new issuance, reprint, replacement, lost and damaged cards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new issuance, reprint, replacement, and lost and damaged card transactions run in production mode, with real-time status in NRIS and no failed or orphaned transactions. Each transaction type is distinguished on the NRIS record, and every exception follows a defined handling path and is recorded rather than discarded.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7.10, 7.11 and 7.12</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7</w:t>
            </w:r>
            <w:r>
              <w:rPr>
                <w:b w:val="false"/>
                <w:bCs w:val="false"/>
                <w:i w:val="false"/>
                <w:iCs w:val="false"/>
              </w:rPr>
              <w:t xml:space="preserve"> Card quality and security: approved design, security features applied, reject rate at most 1%, barcode/QR functional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are checked for compliance with the approved design, correctly applied laser engraving, micro text, UV and other features, and a reject rate of at most 1 percent of attempts. As amended by Addendum 2, machine-readable features are barcode or QR, with no chip; the QR code and card identifier are read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3.6, 4.4 and 6.8</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8</w:t>
            </w:r>
            <w:r>
              <w:rPr>
                <w:b w:val="false"/>
                <w:bCs w:val="false"/>
                <w:i w:val="false"/>
                <w:iCs w:val="false"/>
              </w:rPr>
              <w:t xml:space="preserve"> Mailing and dispatch test: at least 99.5% accuracy, correct card-envelope-recipient matching, dispatch records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requires at least 99.5 percent accuracy in insertion and addressing, no duplicate or missing items, and correct card-to-envelope-to-recipient matching. Every card is read twice against its record, the second time on its carrier after affixing, and a dispatch record is generated and stored for every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5.4 and 5.7</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9</w:t>
            </w:r>
            <w:r>
              <w:rPr>
                <w:b w:val="false"/>
                <w:bCs w:val="false"/>
                <w:i w:val="false"/>
                <w:iCs w:val="false"/>
              </w:rPr>
              <w:t xml:space="preserve"> Audit trail test: full card traceability, all user actions and events logged, tamper-proof logs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demonstrates traceability of every card from NRIS record to dispatch, and logging of all operator, supervisor and administrator actions, system events and exceptions. Audit records are written once to storage that no user, administrators included, can modify or delete, with verifiable integrity and ten-year retention.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7.14 and 10.6</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10</w:t>
            </w:r>
            <w:r>
              <w:rPr>
                <w:b w:val="false"/>
                <w:bCs w:val="false"/>
                <w:i w:val="false"/>
                <w:iCs w:val="false"/>
              </w:rPr>
              <w:t xml:space="preserve"> Security operations test: authorized access only, failed logins alerted, no escalation or critical vulnerabilities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access limited to authorized roles, failed logins logged and alerted, no privilege escalation, all security events monitored, and no critical vulnerability. Independent penetration testing in week 24, with retest in weeks 25 and 26, precedes it, and privileged access is issued just in time and recorded.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4.4 and 4.6; System Architecture Sections 10.3 and 10.7</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11</w:t>
            </w:r>
            <w:r>
              <w:rPr>
                <w:b w:val="false"/>
                <w:bCs w:val="false"/>
                <w:i w:val="false"/>
                <w:iCs w:val="false"/>
              </w:rPr>
              <w:t xml:space="preserve"> Backup, restore and recovery during live operation without corruption or disruption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backup is executed during live operation and data is restored without corruption or significant disruption. Backups are scheduled, encrypted, integrity-checked and replicated to immutable storage at the secondary environment, and restoration supports file, database, full system and point-in-time recovery with verification before service resumes.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 12.3</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12</w:t>
            </w:r>
            <w:r>
              <w:rPr>
                <w:b w:val="false"/>
                <w:bCs w:val="false"/>
                <w:i w:val="false"/>
                <w:iCs w:val="false"/>
              </w:rPr>
              <w:t xml:space="preserve"> Monitoring and alerting test: real-time alerts, dashboards, logs and metrics for troubleshooting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that alerts for failures, performance degradation and consumable thresholds reach operators in real time. Monitoring runs 24/7 on centralized dashboards, alerts are delivered on consoles and by email and SMS to designated NRB staff, and logs are aggregated centrally for troubleshooting.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6.11 and 12.2</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13</w:t>
            </w:r>
            <w:r>
              <w:rPr>
                <w:b w:val="false"/>
                <w:bCs w:val="false"/>
                <w:i w:val="false"/>
                <w:iCs w:val="false"/>
              </w:rPr>
              <w:t xml:space="preserve"> Multi-shift test: two shifts, smooth handover, consistent throughput, no vendor dependency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two NRB operator shifts run production with handover procedures, requiring no disruption at handover, consistent throughput and no dependency on the Supplier. Beforehand every operator is assessed competent on the deployed system, shift handover included, and coached in production until two shifts run without Supplier intervention.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3.1, 3.7, 3.8 and 4.6</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14</w:t>
            </w:r>
            <w:r>
              <w:rPr>
                <w:b w:val="false"/>
                <w:bCs w:val="false"/>
                <w:i w:val="false"/>
                <w:iCs w:val="false"/>
              </w:rPr>
              <w:t xml:space="preserve"> Consumables and inventory test: usage tracking, low-stock alerts, real-time inventory reports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accurate consumables tracking, automated low-stock alerts, real-time inventory reports and no stoppage for want of stock. Stock Control holds every blank by serial number, tracks carriers, envelopes and other consumables against usage, and alerts against defined thresholds in time to reorder.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 6.10</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15</w:t>
            </w:r>
            <w:r>
              <w:rPr>
                <w:b w:val="false"/>
                <w:bCs w:val="false"/>
                <w:i w:val="false"/>
                <w:iCs w:val="false"/>
              </w:rPr>
              <w:t xml:space="preserve"> Reporting and SLA test: daily, weekly, monthly reports, correct SLA metrics, no log discrepancies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daily, weekly and monthly reports, correct calculation of uptime, throughput and rejection rate, on-demand access for authorized users, and no discrepancy with the logs. Reports draw on the same production records that drive status feedback to NRIS, and are reconcilable against the system logs they derive from.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6.11 and 7.13</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16</w:t>
            </w:r>
            <w:r>
              <w:rPr>
                <w:b w:val="false"/>
                <w:bCs w:val="false"/>
                <w:i w:val="false"/>
                <w:iCs w:val="false"/>
              </w:rPr>
              <w:t xml:space="preserve"> Operational independence test: Purchaser staff operate the full system, vendor observing only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28 NRB staff operate the full system, perform every routine task and handle minor faults with the Supplier observing only, and the operational manuals are validated. Training is built backwards from this test: every trainee is assessed competent on the deployed system, and NRB trainers are 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3.1, 3.7 and 4.6</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17</w:t>
            </w:r>
            <w:r>
              <w:rPr>
                <w:b w:val="false"/>
                <w:bCs w:val="false"/>
                <w:i w:val="false"/>
                <w:iCs w:val="false"/>
              </w:rPr>
              <w:t xml:space="preserve"> Final acceptance demonstration: continuous production over observation period, all KPIs met</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29 and 30 production runs continuously over a ten working day observation period, agreed at design approval, requiring availability of at least 99 percent, data accuracy of at least 99.99 percent, mailing accuracy of at least 99.5 percent and a reject rate of at most 1 percent. Formal acceptance is recorded at the week 30 gate.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2.2, 2.7, 4.6 and 4.7</w:t>
            </w:r>
          </w:p>
        </w:tc>
      </w:tr>
    </w:tbl>
    <w:p>
      <w:pPr>
        <w:spacing w:after="140"/>
      </w:pPr>
    </w:p>
    <w:p>
      <w:r>
        <w:br w:type="page"/>
      </w:r>
    </w:p>
    <w:p>
      <w:r>
        <w:br w:type="page"/>
      </w:r>
    </w:p>
    <w:p>
      <w:pPr>
        <w:pStyle w:val="Heading1"/>
        <w:numPr>
          <w:ilvl w:val="0"/>
          <w:numId w:val="2"/>
        </w:numPr>
        <w:spacing w:after="140" w:before="240"/>
      </w:pPr>
      <w:r>
        <w:t xml:space="preserve">S</w:t>
      </w:r>
      <w:bookmarkStart w:name="sec_5" w:id="1"/>
      <w:r>
        <w:rPr>
          <w:b w:val="false"/>
          <w:bCs w:val="false"/>
          <w:i w:val="false"/>
          <w:iCs w:val="false"/>
        </w:rPr>
        <w:t xml:space="preserve">ervice Specifications, Recurrent Cost Items</w:t>
      </w:r>
      <w:bookmarkEnd w:id="1"/>
    </w:p>
    <w:p>
      <w:pPr>
        <w:pStyle w:val="Heading2"/>
        <w:numPr>
          <w:ilvl w:val="1"/>
          <w:numId w:val="2"/>
        </w:numPr>
        <w:spacing w:after="140" w:before="260"/>
      </w:pPr>
      <w:r>
        <w:t xml:space="preserve">W</w:t>
      </w:r>
      <w:bookmarkStart w:name="sec_5_1" w:id="1"/>
      <w:r>
        <w:rPr>
          <w:b w:val="false"/>
          <w:bCs w:val="false"/>
          <w:i w:val="false"/>
          <w:iCs w:val="false"/>
        </w:rPr>
        <w:t xml:space="preserve">arranty defect repair</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5570"/>
        <w:gridCol w:w="200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450"/>
            <w:tcMar>
              <w:top w:type="dxa" w:w="60"/>
              <w:left w:type="dxa" w:w="100"/>
              <w:bottom w:type="dxa" w:w="60"/>
              <w:right w:type="dxa" w:w="100"/>
            </w:tcMar>
          </w:tcPr>
          <w:p>
            <w:pPr>
              <w:spacing w:after="0" w:before="0"/>
            </w:pPr>
            <w:r>
              <w:rPr>
                <w:b/>
                <w:bCs/>
                <w:i w:val="false"/>
                <w:iCs w:val="false"/>
              </w:rPr>
              <w:t xml:space="preserve">5.1.1.1</w:t>
            </w:r>
            <w:r>
              <w:rPr>
                <w:b w:val="false"/>
                <w:bCs w:val="false"/>
                <w:i w:val="false"/>
                <w:iCs w:val="false"/>
              </w:rPr>
              <w:t xml:space="preserve"> Three-year warranty defect repair with response and resolution standards and service modes</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Three years of warranty defect repair cover all equipment, systems, software and services supplied, repairing or replacing goods and correcting services at no cost, on the severity targets of Annex A to the Responses to Queries 003. Equipment and infrastructure are restored on site from spares, failed modules return to their manufacturer, and software is corrected on call. [CONFIRM: The S8000 and MS1000 datasheets state a one-year standard manufacturer warranty (S8000 extendable by one year). Inkript must confirm back-to-back three-year manufacturer coverage through the support agreement and the Manufacturer's Authorization. Warranty start also needs aligning: Final Acceptance in the proposal and SCC GCC 29.4, Operational Acceptance in clause 4.3.1.]</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5.1 and 5.4; System Architecture Section 12.4; Attachment: Manufacturer's Authorization</w:t>
            </w:r>
          </w:p>
        </w:tc>
      </w:tr>
    </w:tbl>
    <w:p>
      <w:pPr>
        <w:spacing w:after="140"/>
      </w:pPr>
    </w:p>
    <w:p>
      <w:pPr>
        <w:pStyle w:val="Heading2"/>
        <w:numPr>
          <w:ilvl w:val="1"/>
          <w:numId w:val="2"/>
        </w:numPr>
        <w:spacing w:after="140" w:before="260"/>
      </w:pPr>
      <w:r>
        <w:t xml:space="preserve">T</w:t>
      </w:r>
      <w:bookmarkStart w:name="sec_5_2" w:id="1"/>
      <w:r>
        <w:rPr>
          <w:b w:val="false"/>
          <w:bCs w:val="false"/>
          <w:i w:val="false"/>
          <w:iCs w:val="false"/>
        </w:rPr>
        <w:t xml:space="preserve">echnical support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49"/>
        <w:gridCol w:w="2001"/>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4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5.2.1.1</w:t>
            </w:r>
            <w:r>
              <w:rPr>
                <w:b w:val="false"/>
                <w:bCs w:val="false"/>
                <w:i w:val="false"/>
                <w:iCs w:val="false"/>
              </w:rPr>
              <w:t xml:space="preserve"> User support and hotline available 24x7</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A user support hotline operates 24 hours a day, seven days a week, through the warranty and post-warranty periods. Every incident, by telephone, email or service desk, is logged with a reference, severity and owner, and response time runs from logging: 30 minutes for Severity 1 and one hour for Severity 2, at any hour.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5.1 and 5.2; System Architecture Section 12.4</w:t>
            </w:r>
          </w:p>
        </w:tc>
      </w:tr>
      <w:tr>
        <w:tc>
          <w:tcPr>
            <w:tcW w:type="dxa" w:w="1670"/>
            <w:tcMar>
              <w:top w:type="dxa" w:w="60"/>
              <w:left w:type="dxa" w:w="100"/>
              <w:bottom w:type="dxa" w:w="60"/>
              <w:right w:type="dxa" w:w="100"/>
            </w:tcMar>
          </w:tcPr>
          <w:p>
            <w:pPr>
              <w:spacing w:after="0" w:before="0"/>
            </w:pPr>
            <w:r>
              <w:rPr>
                <w:b/>
                <w:bCs/>
                <w:i w:val="false"/>
                <w:iCs w:val="false"/>
              </w:rPr>
              <w:t xml:space="preserve">5.2.1.2</w:t>
            </w:r>
            <w:r>
              <w:rPr>
                <w:b w:val="false"/>
                <w:bCs w:val="false"/>
                <w:i w:val="false"/>
                <w:iCs w:val="false"/>
              </w:rPr>
              <w:t xml:space="preserve"> Level 2 and Level 3 technical assistance with OEE, MTTR, MTBF and PMC KPIs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Level 2 is the technical team in Lilongwe; Level 3 is the equipment manufacturer's product line specialists and the Supplier's senior engineers. Targets follow Annex A to the Responses to Queries 003: OEE 85 percent (monthly minimum 80), MTTR 4 hours for critical faults, MTBF at least 90 percent of manufacturer figures, PMC 95 percent monthly. [CONFIRM: Preliminary Project Plan Section 5.2 says the manufacturer's Level 3 support agreement covers the warranty period only; confirm it extends to post-warranty maintenance. The MTBF target depends on the manufacturer's specified MTBF figures, which are not in the datasheets and must be obtained.]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12.4; Preliminary Project Plan Sections 5.2 and 5.3</w:t>
            </w:r>
          </w:p>
        </w:tc>
      </w:tr>
      <w:tr>
        <w:tc>
          <w:tcPr>
            <w:tcW w:type="dxa" w:w="1670"/>
            <w:tcMar>
              <w:top w:type="dxa" w:w="60"/>
              <w:left w:type="dxa" w:w="100"/>
              <w:bottom w:type="dxa" w:w="60"/>
              <w:right w:type="dxa" w:w="100"/>
            </w:tcMar>
          </w:tcPr>
          <w:p>
            <w:pPr>
              <w:spacing w:after="0" w:before="0"/>
            </w:pPr>
            <w:r>
              <w:rPr>
                <w:b/>
                <w:bCs/>
                <w:i w:val="false"/>
                <w:iCs w:val="false"/>
              </w:rPr>
              <w:t xml:space="preserve">5.2.1.3</w:t>
            </w:r>
            <w:r>
              <w:rPr>
                <w:b w:val="false"/>
                <w:bCs w:val="false"/>
                <w:i w:val="false"/>
                <w:iCs w:val="false"/>
              </w:rPr>
              <w:t xml:space="preserve"> Three-year renewable post-warranty maintenance with response, resolution standards and service modes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Post-warranty maintenance runs for three years after the warranty period, renewable, on the same response and resolution standards and modes of service: on-site module replacement from site spares, return of failed modules to the manufacturer for repair, and on-call remote or on-site software correction. Availability of at least 99 percent applies throughout, reported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5.1 and 5.6; System Architecture Section 12.4</w:t>
            </w:r>
          </w:p>
        </w:tc>
      </w:tr>
    </w:tbl>
    <w:p>
      <w:pPr>
        <w:spacing w:after="140"/>
      </w:pPr>
    </w:p>
    <w:p>
      <w:pPr>
        <w:pStyle w:val="Heading2"/>
        <w:numPr>
          <w:ilvl w:val="1"/>
          <w:numId w:val="2"/>
        </w:numPr>
        <w:spacing w:after="140" w:before="260"/>
      </w:pPr>
      <w:r>
        <w:t xml:space="preserve">R</w:t>
      </w:r>
      <w:bookmarkStart w:name="sec_5_3"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0"/>
        <w:gridCol w:w="2000"/>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5.3.1</w:t>
            </w:r>
            <w:r>
              <w:rPr>
                <w:b w:val="false"/>
                <w:bCs w:val="false"/>
                <w:i w:val="false"/>
                <w:iCs w:val="false"/>
              </w:rPr>
              <w:t xml:space="preserve"> Technical team for post-acceptance assistance, including legislative modifications, at inventory-table quantities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A technical team of the five specified roles, each meeting its role's qualifications, covers post-Operational Acceptance technical assistance from Lilongwe, giving two-hour on-site attendance for critical incidents. Modifications, such as those for changes in legislation or regulation, go through the Contract's change procedure and are then delivered under change control. [CONFIRM: The proposal documents do not state the input quantities per role. Confirm that the System Inventory Tables for Recurrent Cost Items are completed at not less than the Purchaser's minimum quantities (in the Financial Part only, since no pricing may appear in the Technical Part).]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12.4; Preliminary Project Plan Section 5.2; Change Management Plan Section 5.3</w:t>
            </w:r>
          </w:p>
        </w:tc>
      </w:tr>
      <w:tr>
        <w:tc>
          <w:tcPr>
            <w:tcW w:type="dxa" w:w="2550"/>
            <w:tcMar>
              <w:top w:type="dxa" w:w="60"/>
              <w:left w:type="dxa" w:w="100"/>
              <w:bottom w:type="dxa" w:w="60"/>
              <w:right w:type="dxa" w:w="100"/>
            </w:tcMar>
          </w:tcPr>
          <w:p>
            <w:pPr>
              <w:spacing w:after="0" w:before="0"/>
            </w:pPr>
            <w:r>
              <w:rPr>
                <w:b/>
                <w:bCs/>
                <w:i w:val="false"/>
                <w:iCs w:val="false"/>
              </w:rPr>
              <w:t xml:space="preserve">5.3.1.1</w:t>
            </w:r>
            <w:r>
              <w:rPr>
                <w:b w:val="false"/>
                <w:bCs w:val="false"/>
                <w:i w:val="false"/>
                <w:iCs w:val="false"/>
              </w:rPr>
              <w:t xml:space="preserve"> CPF Infrastructure Engineer: relevant degree; 5 years data center, integration, high availability; CCNA/CCNP, OEM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with at least five years in data center and high availability systems. The role leads the hardened platform, secondary environment, backup and recovery, and trains NRB staff on the clusters, storage array and database. [CONFIRM: Preliminary Project Plan Section 3.8 leaves out the hardware and software integration experience the clause requires, and no document states that the role supports the personalization, mailing and dispatch system integrated with NRIS and the operational environment. The named candidate's CV and certificates must show the integration experience, the CCNA or CCNP and the manufacturer certificates.]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System Architecture Section 12.4; Cybersecurity Risk Management Plan Section 9.3;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5.3.1.2</w:t>
            </w:r>
            <w:r>
              <w:rPr>
                <w:b w:val="false"/>
                <w:bCs w:val="false"/>
                <w:i w:val="false"/>
                <w:iCs w:val="false"/>
              </w:rPr>
              <w:t xml:space="preserve"> ID Card Security Specialist: degree or diploma, ACE-M and PKI certifications, 5 years polycarbonate card security</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The specialist also trains NRB staff on quality assurance and the inspection of card security features, such as the UV, deliberate error, tactile laser and signed QR elements. [CONFIRM: The documents do not state the candidate's experience in encryption systems, covert and forensic security, and tactile and laser-Braille elements. The CV must evidence these, and copies of the ACE-M and PKI certificates must be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System Architecture Sections 4.2, 4.4 and 12.4;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5.3.1.3</w:t>
            </w:r>
            <w:r>
              <w:rPr>
                <w:b w:val="false"/>
                <w:bCs w:val="false"/>
                <w:i w:val="false"/>
                <w:iCs w:val="false"/>
              </w:rPr>
              <w:t xml:space="preserve"> Facilities/Electrical Engineer: engineering degree, 7 years critical infrastructure, UPS, HVAC, generators, fire suppression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post-Operational Acceptance technical team includes a Facilities and Electrical Engineer meeting the qualification and certification requirements set for the role. The facility systems the role supports are those the Information System relies on: UPS, generator with automatic transfer, HVAC and precision cooling, clean agent fire suppression and physical security installations. [GAP: The role is only named in System Architecture Section 12.4. No qualifications, experience, scope or candidate appear anywhere, and the role is missing from the table in Preliminary Project Plan Section 3.8. Add the role with its degree, seven years in critical infrastructure, and UPS, HVAC, generator, fire suppression and secure facility experience, and provide the CV (the same role is key personnel under clause 2.4.1.10).]</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9.5 and 12.4;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5.3.1.4</w:t>
            </w:r>
            <w:r>
              <w:rPr>
                <w:b w:val="false"/>
                <w:bCs w:val="false"/>
                <w:i w:val="false"/>
                <w:iCs w:val="false"/>
              </w:rPr>
              <w:t xml:space="preserve"> Network Engineer: relevant degree or diploma, CCNA and CCNP, 5 years VLANs, firewalls, redundancy</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The role covers the zone VLANs, firewall policy and wide area links, including the redundant core switch and firewall pairs. [CONFIRM: The documents do not mention network redundancy experience or Fortinet or Palo Alto certification (an added advantage). The candidate's CV should show the first and state the second if held. Cybersecurity Risk Management Plan Section 9.3 engages the Network Engineer for design and weeks 15 to 23 only; align it with the post-Operational Acceptance technical team in System Architecture Section 12.4.]</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Cybersecurity Risk Management Plan Section 9.3; System Architecture Section 9.2;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5.3.1.5</w:t>
            </w:r>
            <w:r>
              <w:rPr>
                <w:b w:val="false"/>
                <w:bCs w:val="false"/>
                <w:i w:val="false"/>
                <w:iCs w:val="false"/>
              </w:rPr>
              <w:t xml:space="preserve"> Cybersecurity and PKI Specialist: relevant degree, 7 years, CISSP, CISM, CEH, 3 years identity or PKI</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CISSP, CISM and CEH, and at least seven years in cybersecurity including three in identity management or PKI, with experience of hardware security modules, encryption and digital certificates. The role provides Level 2 security support through the warranty period. [CONFIRM: The documents do not mention experience with access control systems, which the clause requires, or a PKI certification (added advantage). The CV must evidence access control systems experience, and certificate copies must be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9.3; Preliminary Project Plan Section 3.8; System Architecture Section 12.4; Attachment: Candidate Summary and CV</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Responsiveness Checklist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Responsiveness Checklist</dc:title>
  <dc:creator>Inkript</dc:creator>
  <cp:lastModifiedBy>Un-named</cp:lastModifiedBy>
  <cp:revision>1</cp:revision>
  <dcterms:created xsi:type="dcterms:W3CDTF">2026-10-07T07:29:37.351Z</dcterms:created>
  <dcterms:modified xsi:type="dcterms:W3CDTF">2026-10-07T07:29:37.352Z</dcterms:modified>
</cp:coreProperties>
</file>

<file path=docProps/custom.xml><?xml version="1.0" encoding="utf-8"?>
<Properties xmlns="http://schemas.openxmlformats.org/officeDocument/2006/custom-properties" xmlns:vt="http://schemas.openxmlformats.org/officeDocument/2006/docPropsVTypes"/>
</file>