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322"/>
        <w:gridCol w:w="346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322"/>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468"/>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468"/>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468"/>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taking a laser station out of service between runs; assisting calibration</w:t>
            </w:r>
          </w:p>
        </w:tc>
        <w:tc>
          <w:tcPr>
            <w:tcW w:type="dxa" w:w="3468"/>
            <w:tcMar>
              <w:top w:type="dxa" w:w="60"/>
              <w:left w:type="dxa" w:w="100"/>
              <w:bottom w:type="dxa" w:w="60"/>
              <w:right w:type="dxa" w:w="100"/>
            </w:tcMar>
          </w:tcPr>
          <w:p>
            <w:pPr>
              <w:spacing w:after="0" w:before="0"/>
            </w:pPr>
            <w:r>
              <w:rPr>
                <w:b w:val="false"/>
                <w:bCs w:val="false"/>
                <w:i w:val="false"/>
                <w:iCs w:val="false"/>
              </w:rPr>
              <w:t xml:space="preserve">Take a station out of service at the end of a run, restart production with the job settings for the remaining stations, and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468"/>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42"/>
        <w:gridCol w:w="6578"/>
      </w:tblGrid>
      <w:tr>
        <w:trPr>
          <w:tblHeader/>
        </w:trPr>
        <w:tc>
          <w:tcPr>
            <w:tcW w:type="dxa" w:w="244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57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57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57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578"/>
            <w:tcMar>
              <w:top w:type="dxa" w:w="60"/>
              <w:left w:type="dxa" w:w="100"/>
              <w:bottom w:type="dxa" w:w="60"/>
              <w:right w:type="dxa" w:w="100"/>
            </w:tcMar>
          </w:tcPr>
          <w:p>
            <w:pPr>
              <w:spacing w:after="0" w:before="0"/>
            </w:pPr>
            <w:r>
              <w:rPr>
                <w:b w:val="false"/>
                <w:bCs w:val="false"/>
                <w:i w:val="false"/>
                <w:iCs w:val="false"/>
              </w:rPr>
              <w:t xml:space="preserve">The run is concluded, production resumes on the remaining stations or on the other line, and the event is reported to the supervisor</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57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57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57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57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The five stations, two for each face and one for the CLI. A station for one face is switched off and taken out of operation at the end of a run, and production resumes on the remaining stations once the job settings are reconfigured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76"/>
        <w:gridCol w:w="3528"/>
        <w:gridCol w:w="2616"/>
      </w:tblGrid>
      <w:tr>
        <w:trPr>
          <w:tblHeader/>
        </w:trPr>
        <w:tc>
          <w:tcPr>
            <w:tcW w:type="dxa" w:w="2876"/>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28"/>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16"/>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filtering system, feeders and card transport</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16"/>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28"/>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the filtering system,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the load balancers,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Software, subscriptions and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2907"/>
        <w:gridCol w:w="2663"/>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907"/>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663"/>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07"/>
            <w:tcMar>
              <w:top w:type="dxa" w:w="60"/>
              <w:left w:type="dxa" w:w="100"/>
              <w:bottom w:type="dxa" w:w="60"/>
              <w:right w:type="dxa" w:w="100"/>
            </w:tcMar>
          </w:tcPr>
          <w:p>
            <w:pPr>
              <w:spacing w:after="0" w:before="0"/>
            </w:pPr>
            <w:r>
              <w:rPr>
                <w:b w:val="false"/>
                <w:bCs w:val="false"/>
                <w:i w:val="false"/>
                <w:iCs w:val="false"/>
              </w:rPr>
              <w:t xml:space="preserve">144 core licenses: the 2 application hosts at the primary site and the host at the secondary site, each of two 24-core processors</w:t>
            </w:r>
          </w:p>
        </w:tc>
        <w:tc>
          <w:tcPr>
            <w:tcW w:type="dxa" w:w="2663"/>
            <w:tcMar>
              <w:top w:type="dxa" w:w="60"/>
              <w:left w:type="dxa" w:w="100"/>
              <w:bottom w:type="dxa" w:w="60"/>
              <w:right w:type="dxa" w:w="100"/>
            </w:tcMar>
          </w:tcPr>
          <w:p>
            <w:pPr>
              <w:spacing w:after="0" w:before="0"/>
            </w:pPr>
            <w:r>
              <w:rPr>
                <w:b w:val="false"/>
                <w:bCs w:val="false"/>
                <w:i w:val="false"/>
                <w:iCs w:val="false"/>
              </w:rPr>
              <w:t xml:space="preserve">The server operating system and Hyper-V on those hosts, failover clustering of the application hosts, and every Windows Server virtual machine they run, including the domain controllers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07"/>
            <w:tcMar>
              <w:top w:type="dxa" w:w="60"/>
              <w:left w:type="dxa" w:w="100"/>
              <w:bottom w:type="dxa" w:w="60"/>
              <w:right w:type="dxa" w:w="100"/>
            </w:tcMar>
          </w:tcPr>
          <w:p>
            <w:pPr>
              <w:spacing w:after="0" w:before="0"/>
            </w:pPr>
            <w:r>
              <w:rPr>
                <w:b w:val="false"/>
                <w:bCs w:val="false"/>
                <w:i w:val="false"/>
                <w:iCs w:val="false"/>
              </w:rPr>
              <w:t xml:space="preserve">96 core licenses: the 2 database hosts at the primary site, each of two 24-core processors</w:t>
            </w:r>
          </w:p>
        </w:tc>
        <w:tc>
          <w:tcPr>
            <w:tcW w:type="dxa" w:w="2663"/>
            <w:tcMar>
              <w:top w:type="dxa" w:w="60"/>
              <w:left w:type="dxa" w:w="100"/>
              <w:bottom w:type="dxa" w:w="60"/>
              <w:right w:type="dxa" w:w="100"/>
            </w:tcMar>
          </w:tcPr>
          <w:p>
            <w:pPr>
              <w:spacing w:after="0" w:before="0"/>
            </w:pPr>
            <w:r>
              <w:rPr>
                <w:b w:val="false"/>
                <w:bCs w:val="false"/>
                <w:i w:val="false"/>
                <w:iCs w:val="false"/>
              </w:rPr>
              <w:t xml:space="preserve">The server operating system and Hyper-V on the database hosts, failover clustering of the database hosts, and the database virtual machine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907"/>
            <w:tcMar>
              <w:top w:type="dxa" w:w="60"/>
              <w:left w:type="dxa" w:w="100"/>
              <w:bottom w:type="dxa" w:w="60"/>
              <w:right w:type="dxa" w:w="100"/>
            </w:tcMar>
          </w:tcPr>
          <w:p>
            <w:pPr>
              <w:spacing w:after="0" w:before="0"/>
            </w:pPr>
            <w:r>
              <w:rPr>
                <w:b w:val="false"/>
                <w:bCs w:val="false"/>
                <w:i w:val="false"/>
                <w:iCs w:val="false"/>
              </w:rPr>
              <w:t xml:space="preserve">The virtual cores allocated to the database virtual machine</w:t>
            </w:r>
          </w:p>
        </w:tc>
        <w:tc>
          <w:tcPr>
            <w:tcW w:type="dxa" w:w="2663"/>
            <w:tcMar>
              <w:top w:type="dxa" w:w="60"/>
              <w:left w:type="dxa" w:w="100"/>
              <w:bottom w:type="dxa" w:w="60"/>
              <w:right w:type="dxa" w:w="100"/>
            </w:tcMar>
          </w:tcPr>
          <w:p>
            <w:pPr>
              <w:spacing w:after="0" w:before="0"/>
            </w:pPr>
            <w:r>
              <w:rPr>
                <w:b w:val="false"/>
                <w:bCs w:val="false"/>
                <w:i w:val="false"/>
                <w:iCs w:val="false"/>
              </w:rPr>
              <w:t xml:space="preserve">The production database. The secondary copy at the secondary site is covered by the failover rights of Software Assurance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670"/>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907"/>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2663"/>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907"/>
            <w:tcMar>
              <w:top w:type="dxa" w:w="60"/>
              <w:left w:type="dxa" w:w="100"/>
              <w:bottom w:type="dxa" w:w="60"/>
              <w:right w:type="dxa" w:w="100"/>
            </w:tcMar>
          </w:tcPr>
          <w:p>
            <w:pPr>
              <w:spacing w:after="0" w:before="0"/>
            </w:pPr>
            <w:r>
              <w:rPr>
                <w:b w:val="false"/>
                <w:bCs w:val="false"/>
                <w:i w:val="false"/>
                <w:iCs w:val="false"/>
              </w:rPr>
              <w:t xml:space="preserve">10</w:t>
            </w:r>
          </w:p>
        </w:tc>
        <w:tc>
          <w:tcPr>
            <w:tcW w:type="dxa" w:w="2663"/>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2907"/>
            <w:tcMar>
              <w:top w:type="dxa" w:w="60"/>
              <w:left w:type="dxa" w:w="100"/>
              <w:bottom w:type="dxa" w:w="60"/>
              <w:right w:type="dxa" w:w="100"/>
            </w:tcMar>
          </w:tcPr>
          <w:p>
            <w:pPr>
              <w:spacing w:after="0" w:before="0"/>
            </w:pPr>
            <w:r>
              <w:rPr>
                <w:b w:val="false"/>
                <w:bCs w:val="false"/>
                <w:i w:val="false"/>
                <w:iCs w:val="false"/>
              </w:rPr>
              <w:t xml:space="preserve">34: the 5 hosts; 19 virtual machines, being the 14 production and 2 non-production virtual machines at the primary site, and the domain controller, the database copy and the Veeam server at the secondary site; and the 10 workstations. The standby copies at the secondary site run only in place of the virtual machines they copy</w:t>
            </w:r>
          </w:p>
        </w:tc>
        <w:tc>
          <w:tcPr>
            <w:tcW w:type="dxa" w:w="2663"/>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2907"/>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663"/>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907"/>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663"/>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2907"/>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663"/>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1670"/>
            <w:tcMar>
              <w:top w:type="dxa" w:w="60"/>
              <w:left w:type="dxa" w:w="100"/>
              <w:bottom w:type="dxa" w:w="60"/>
              <w:right w:type="dxa" w:w="100"/>
            </w:tcMar>
          </w:tcPr>
          <w:p>
            <w:pPr>
              <w:spacing w:after="0" w:before="0"/>
            </w:pPr>
            <w:r>
              <w:rPr>
                <w:b w:val="false"/>
                <w:bCs w:val="false"/>
                <w:i w:val="false"/>
                <w:iCs w:val="false"/>
              </w:rPr>
              <w:t xml:space="preserve">Subscription, by monitored node and event volume</w:t>
            </w:r>
          </w:p>
        </w:tc>
        <w:tc>
          <w:tcPr>
            <w:tcW w:type="dxa" w:w="2907"/>
            <w:tcMar>
              <w:top w:type="dxa" w:w="60"/>
              <w:left w:type="dxa" w:w="100"/>
              <w:bottom w:type="dxa" w:w="60"/>
              <w:right w:type="dxa" w:w="100"/>
            </w:tcMar>
          </w:tcPr>
          <w:p>
            <w:pPr>
              <w:spacing w:after="0" w:before="0"/>
            </w:pPr>
            <w:r>
              <w:rPr>
                <w:b w:val="false"/>
                <w:bCs w:val="false"/>
                <w:i w:val="false"/>
                <w:iCs w:val="false"/>
              </w:rPr>
              <w:t xml:space="preserve">All infrastructure and application sources, and the full event volume of the estate</w:t>
            </w:r>
          </w:p>
        </w:tc>
        <w:tc>
          <w:tcPr>
            <w:tcW w:type="dxa" w:w="2663"/>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 and the collection and correlation of security events across all sources for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2907"/>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663"/>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instance</w:t>
            </w:r>
          </w:p>
        </w:tc>
        <w:tc>
          <w:tcPr>
            <w:tcW w:type="dxa" w:w="2907"/>
            <w:tcMar>
              <w:top w:type="dxa" w:w="60"/>
              <w:left w:type="dxa" w:w="100"/>
              <w:bottom w:type="dxa" w:w="60"/>
              <w:right w:type="dxa" w:w="100"/>
            </w:tcMar>
          </w:tcPr>
          <w:p>
            <w:pPr>
              <w:spacing w:after="0" w:before="0"/>
            </w:pPr>
            <w:r>
              <w:rPr>
                <w:b w:val="false"/>
                <w:bCs w:val="false"/>
                <w:i w:val="false"/>
                <w:iCs w:val="false"/>
              </w:rPr>
              <w:t xml:space="preserve">30 instances, covering the protected virtual machines at both sites, with configuration and audit logs, replicated to the secondary site</w:t>
            </w:r>
          </w:p>
        </w:tc>
        <w:tc>
          <w:tcPr>
            <w:tcW w:type="dxa" w:w="2663"/>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67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2907"/>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663"/>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2907"/>
            <w:tcMar>
              <w:top w:type="dxa" w:w="60"/>
              <w:left w:type="dxa" w:w="100"/>
              <w:bottom w:type="dxa" w:w="60"/>
              <w:right w:type="dxa" w:w="100"/>
            </w:tcMar>
          </w:tcPr>
          <w:p>
            <w:pPr>
              <w:spacing w:after="0" w:before="0"/>
            </w:pPr>
            <w:r>
              <w:rPr>
                <w:b w:val="false"/>
                <w:bCs w:val="false"/>
                <w:i w:val="false"/>
                <w:iCs w:val="false"/>
              </w:rPr>
              <w:t xml:space="preserve">The storage array, 5 switches, 2 firewalls and 2 load balancers at the primary site, and 1 switch, 1 firewall and 1 load balancer at the secondary site</w:t>
            </w:r>
          </w:p>
        </w:tc>
        <w:tc>
          <w:tcPr>
            <w:tcW w:type="dxa" w:w="2663"/>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2907"/>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663"/>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val="false"/>
          <w:bCs w:val="false"/>
          <w:i w:val="false"/>
          <w:iCs w:val="false"/>
        </w:rPr>
        <w:t xml:space="preserve">The application hosts and the secondary host carry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and the secondary host runs the eleven virtual machines of the secondary environment. The database hosts carry Windows Server Standard, which licenses two Windows Server virtual machines on each fully licensed host, more than the one database virtual machine either host runs.</w:t>
      </w: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0"/>
        <w:gridCol w:w="5950"/>
      </w:tblGrid>
      <w:tr>
        <w:trPr>
          <w:tblHeader/>
        </w:trPr>
        <w:tc>
          <w:tcPr>
            <w:tcW w:type="dxa" w:w="3070"/>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50"/>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50"/>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(MDR / MSOC), bulk SMS service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multi-factor authentication, privileged access management</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5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 endpoint detection and response, vulnerability scanning</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5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Clustered database at the primary site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Standard, SQL Server Standard</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50"/>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42"/>
        <w:gridCol w:w="6078"/>
      </w:tblGrid>
      <w:tr>
        <w:trPr>
          <w:tblHeader/>
        </w:trPr>
        <w:tc>
          <w:tcPr>
            <w:tcW w:type="dxa" w:w="2942"/>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078"/>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942"/>
            <w:tcMar>
              <w:top w:type="dxa" w:w="60"/>
              <w:left w:type="dxa" w:w="100"/>
              <w:bottom w:type="dxa" w:w="60"/>
              <w:right w:type="dxa" w:w="100"/>
            </w:tcMar>
          </w:tcPr>
          <w:p>
            <w:pPr>
              <w:spacing w:after="0" w:before="0"/>
            </w:pPr>
            <w:r>
              <w:rPr>
                <w:b w:val="false"/>
                <w:bCs w:val="false"/>
                <w:i w:val="false"/>
                <w:iCs w:val="false"/>
              </w:rPr>
              <w:t xml:space="preserve">Windows Server Datacenter and Standard</w:t>
            </w:r>
          </w:p>
        </w:tc>
        <w:tc>
          <w:tcPr>
            <w:tcW w:type="dxa" w:w="6078"/>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942"/>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078"/>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database hosts, and failover rights for the secondary copy</w:t>
            </w:r>
          </w:p>
        </w:tc>
      </w:tr>
      <w:tr>
        <w:tc>
          <w:tcPr>
            <w:tcW w:type="dxa" w:w="2942"/>
            <w:tcMar>
              <w:top w:type="dxa" w:w="60"/>
              <w:left w:type="dxa" w:w="100"/>
              <w:bottom w:type="dxa" w:w="60"/>
              <w:right w:type="dxa" w:w="100"/>
            </w:tcMar>
          </w:tcPr>
          <w:p>
            <w:pPr>
              <w:spacing w:after="0" w:before="0"/>
            </w:pPr>
            <w:r>
              <w:rPr>
                <w:b w:val="false"/>
                <w:bCs w:val="false"/>
                <w:i w:val="false"/>
                <w:iCs w:val="false"/>
              </w:rPr>
              <w:t xml:space="preserve">Subscriptions: MDR / MSOC, security, operations, firewall, storage array and network device support, and the bulk SMS service</w:t>
            </w:r>
          </w:p>
        </w:tc>
        <w:tc>
          <w:tcPr>
            <w:tcW w:type="dxa" w:w="6078"/>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942"/>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078"/>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942"/>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078"/>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942"/>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078"/>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2026-10-12T12:47:17.865Z</dcterms:created>
  <dcterms:modified xsi:type="dcterms:W3CDTF">2026-10-12T12:47:17.865Z</dcterms:modified>
</cp:coreProperties>
</file>

<file path=docProps/custom.xml><?xml version="1.0" encoding="utf-8"?>
<Properties xmlns="http://schemas.openxmlformats.org/officeDocument/2006/custom-properties" xmlns:vt="http://schemas.openxmlformats.org/officeDocument/2006/docPropsVTypes"/>
</file>