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42</w:t>
            </w:r>
          </w:hyperlink>
        </w:p>
        <w:p>
          <w:pPr>
            <w:pStyle w:val="TOC2"/>
            <w:tabs>
              <w:tab w:val="clear" w:pos="8786"/>
              <w:tab w:val="right" w:pos="9025" w:leader="dot"/>
            </w:tabs>
          </w:pPr>
          <w:hyperlink w:history="1" w:anchor="sec_4_1">
            <w:r>
              <w:rPr>
                <w:rStyle w:val="IndexLink"/>
              </w:rPr>
              <w:t xml:space="default">4.1 Inspections</w:t>
              <w:tab/>
              <w:t xml:space="default">42</w:t>
            </w:r>
          </w:hyperlink>
        </w:p>
        <w:p>
          <w:pPr>
            <w:pStyle w:val="TOC2"/>
            <w:tabs>
              <w:tab w:val="clear" w:pos="8786"/>
              <w:tab w:val="right" w:pos="9025" w:leader="dot"/>
            </w:tabs>
          </w:pPr>
          <w:hyperlink w:history="1" w:anchor="sec_4_2">
            <w:r>
              <w:rPr>
                <w:rStyle w:val="IndexLink"/>
              </w:rPr>
              <w:t xml:space="default">4.2 Pre-commissioning tests</w:t>
              <w:tab/>
              <w:t xml:space="default">42</w:t>
            </w:r>
          </w:hyperlink>
        </w:p>
        <w:p>
          <w:pPr>
            <w:pStyle w:val="TOC2"/>
            <w:tabs>
              <w:tab w:val="clear" w:pos="8786"/>
              <w:tab w:val="right" w:pos="9025" w:leader="dot"/>
            </w:tabs>
          </w:pPr>
          <w:hyperlink w:history="1" w:anchor="sec_4_3">
            <w:r>
              <w:rPr>
                <w:rStyle w:val="IndexLink"/>
              </w:rPr>
              <w:t xml:space="default">4.3 Operational acceptance tests</w:t>
              <w:tab/>
              <w:t xml:space="default">45</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49</w:t>
            </w:r>
          </w:hyperlink>
        </w:p>
        <w:p>
          <w:pPr>
            <w:pStyle w:val="TOC2"/>
            <w:tabs>
              <w:tab w:val="clear" w:pos="8786"/>
              <w:tab w:val="right" w:pos="9025" w:leader="dot"/>
            </w:tabs>
          </w:pPr>
          <w:hyperlink w:history="1" w:anchor="sec_5_1">
            <w:r>
              <w:rPr>
                <w:rStyle w:val="IndexLink"/>
              </w:rPr>
              <w:t xml:space="default">5.1 Warranty defect repair</w:t>
              <w:tab/>
              <w:t xml:space="default">49</w:t>
            </w:r>
          </w:hyperlink>
        </w:p>
        <w:p>
          <w:pPr>
            <w:pStyle w:val="TOC2"/>
            <w:tabs>
              <w:tab w:val="clear" w:pos="8786"/>
              <w:tab w:val="right" w:pos="9025" w:leader="dot"/>
            </w:tabs>
          </w:pPr>
          <w:hyperlink w:history="1" w:anchor="sec_5_2">
            <w:r>
              <w:rPr>
                <w:rStyle w:val="IndexLink"/>
              </w:rPr>
              <w:t xml:space="default">5.2 Technical support</w:t>
              <w:tab/>
              <w:t xml:space="default">49</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49</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matches each carrier's barcode to its card before affixing one to four cards per carrier,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on a two-host failover cluster are load balanced by a high availability pair of appliances, and the database runs on a two-host failover cluster of its own,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384 GB, in application and database clusters on a dual-controller RAID array of not less than 20 TB usable after RAID; redundant layer 3 core switches; a high availability firewall pair and load balancer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Two modular fiber laser systems mark both faces in one pass, with grayscale, QR and CLI. As clarified in the Response to Clarifications 001, 2,000 cards per hour is the combined rate, at least 1,000 per machine. Each machine has five laser stations, two for each face and one for the CLI. A face station can be taken out of service between production runs, with production resuming on the remaining stations, as tested at factory acceptance, and the other machine continues production while one is serviced.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 filtering system, a 600-card stacker and an industrial control PC running the machine software. The laser units need no cooling system, and no air compressor is needed, as the machines use no compressed 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with the card's barcode, match that barcode to the card and affix one to four cards, check the attachment, fold, insert and seal, reading 1D, 2D and QR codes.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and matched to its carrier by identifier before it is affixed,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by a high availability pair of appliances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 Attachment: Laser personalization system secure features document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units of the offered machines need no cooling system for continuous industrial-scale engraving, as the manufacturer confirms. The only auxiliary system they require is the filtering system, which is integrated in each machine and serviced at the manufacturer's preventive maintenance intervals.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filtering system are fully integrated into the personalization machine rather than assembled from separate units, and operate as a single system under synchronized workflow control.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09"/>
            <w:tcMar>
              <w:top w:type="dxa" w:w="60"/>
              <w:left w:type="dxa" w:w="100"/>
              <w:bottom w:type="dxa" w:w="60"/>
              <w:right w:type="dxa" w:w="100"/>
            </w:tcMar>
          </w:tcPr>
          <w:p>
            <w:pPr>
              <w:spacing w:after="0" w:before="0"/>
            </w:pPr>
            <w:r>
              <w:rPr>
                <w:b w:val="false"/>
                <w:bCs w:val="false"/>
                <w:i w:val="false"/>
                <w:iCs w:val="false"/>
              </w:rPr>
              <w:t xml:space="preserve">Each machine personalizes a complete card, both faces and the CLI, in a single pass and independently of the other machine. Within a machine, each face is marked by either of its two laser stations, and the CLI by its own station.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Any laser station can be switched off or removed for servicing at the end of a production run, once the job settings are reconfigured, and the machine continues on the other station for that face. While a machine is serviced, including its CLI station, production continues on the other machine, so servicing does not stop card production. All stations are calibrated to identical quality, and taking a station out between runs is demonstrated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layout drawings of both systems, also submitted, give their overall dimensions, power consumption and total weight. The System Architecture describes each component.</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Equipment layout drawings;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manufacturer's datasheet and manual, submitted with the proposal.</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personalization system manual;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carrier is matched to its cards and they are affixed,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line reads 1D, 2D and QR codes, and this is tested at factory acceptance. Each card is read against the job record before its carrier is printed, and the carrier's barcode is read and matched to the card before the card is affixed. On a mismatch the card and carrier are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against its record and matched to its carrier's barcode before it is affixed,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2026-10-12T12:47:20.921Z</dcterms:created>
  <dcterms:modified xsi:type="dcterms:W3CDTF">2026-10-12T12:47:20.921Z</dcterms:modified>
</cp:coreProperties>
</file>

<file path=docProps/custom.xml><?xml version="1.0" encoding="utf-8"?>
<Properties xmlns="http://schemas.openxmlformats.org/officeDocument/2006/custom-properties" xmlns:vt="http://schemas.openxmlformats.org/officeDocument/2006/docPropsVTypes"/>
</file>