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86"/>
        <w:gridCol w:w="8434"/>
      </w:tblGrid>
      <w:tr>
        <w:trPr>
          <w:tblHeader/>
        </w:trPr>
        <w:tc>
          <w:tcPr>
            <w:tcW w:type="dxa" w:w="586"/>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8434"/>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586"/>
            <w:tcMar>
              <w:top w:type="dxa" w:w="60"/>
              <w:left w:type="dxa" w:w="100"/>
              <w:bottom w:type="dxa" w:w="60"/>
              <w:right w:type="dxa" w:w="100"/>
            </w:tcMar>
          </w:tcPr>
          <w:p>
            <w:pPr>
              <w:spacing w:after="0" w:before="0"/>
            </w:pPr>
            <w:r>
              <w:rPr>
                <w:b/>
                <w:bCs/>
                <w:i w:val="false"/>
                <w:iCs w:val="false"/>
              </w:rPr>
              <w:t xml:space="preserve">Equipment</w:t>
            </w:r>
          </w:p>
        </w:tc>
        <w:tc>
          <w:tcPr>
            <w:tcW w:type="dxa" w:w="8434"/>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586"/>
            <w:tcMar>
              <w:top w:type="dxa" w:w="60"/>
              <w:left w:type="dxa" w:w="100"/>
              <w:bottom w:type="dxa" w:w="60"/>
              <w:right w:type="dxa" w:w="100"/>
            </w:tcMar>
          </w:tcPr>
          <w:p>
            <w:pPr>
              <w:spacing w:after="0" w:before="0"/>
            </w:pPr>
            <w:r>
              <w:rPr>
                <w:b/>
                <w:bCs/>
                <w:i w:val="false"/>
                <w:iCs w:val="false"/>
              </w:rPr>
              <w:t xml:space="preserve">Materials</w:t>
            </w:r>
          </w:p>
        </w:tc>
        <w:tc>
          <w:tcPr>
            <w:tcW w:type="dxa" w:w="8434"/>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586"/>
            <w:tcMar>
              <w:top w:type="dxa" w:w="60"/>
              <w:left w:type="dxa" w:w="100"/>
              <w:bottom w:type="dxa" w:w="60"/>
              <w:right w:type="dxa" w:w="100"/>
            </w:tcMar>
          </w:tcPr>
          <w:p>
            <w:pPr>
              <w:spacing w:after="0" w:before="0"/>
            </w:pPr>
            <w:r>
              <w:rPr>
                <w:b/>
                <w:bCs/>
                <w:i w:val="false"/>
                <w:iCs w:val="false"/>
              </w:rPr>
              <w:t xml:space="preserve">Software</w:t>
            </w:r>
          </w:p>
        </w:tc>
        <w:tc>
          <w:tcPr>
            <w:tcW w:type="dxa" w:w="8434"/>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586"/>
            <w:tcMar>
              <w:top w:type="dxa" w:w="60"/>
              <w:left w:type="dxa" w:w="100"/>
              <w:bottom w:type="dxa" w:w="60"/>
              <w:right w:type="dxa" w:w="100"/>
            </w:tcMar>
          </w:tcPr>
          <w:p>
            <w:pPr>
              <w:spacing w:after="0" w:before="0"/>
            </w:pPr>
            <w:r>
              <w:rPr>
                <w:b/>
                <w:bCs/>
                <w:i w:val="false"/>
                <w:iCs w:val="false"/>
              </w:rPr>
              <w:t xml:space="preserve">Infrastructure</w:t>
            </w:r>
          </w:p>
        </w:tc>
        <w:tc>
          <w:tcPr>
            <w:tcW w:type="dxa" w:w="8434"/>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586"/>
            <w:tcMar>
              <w:top w:type="dxa" w:w="60"/>
              <w:left w:type="dxa" w:w="100"/>
              <w:bottom w:type="dxa" w:w="60"/>
              <w:right w:type="dxa" w:w="100"/>
            </w:tcMar>
          </w:tcPr>
          <w:p>
            <w:pPr>
              <w:spacing w:after="0" w:before="0"/>
            </w:pPr>
            <w:r>
              <w:rPr>
                <w:b/>
                <w:bCs/>
                <w:i w:val="false"/>
                <w:iCs w:val="false"/>
              </w:rPr>
              <w:t xml:space="preserve">Integration</w:t>
            </w:r>
          </w:p>
        </w:tc>
        <w:tc>
          <w:tcPr>
            <w:tcW w:type="dxa" w:w="8434"/>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r>
        <w:br w:type="page"/>
      </w:r>
    </w:p>
    <w:p>
      <w:r>
        <w:br w:type="page"/>
      </w:r>
    </w:p>
    <w:p>
      <w:pPr>
        <w:pStyle w:val="Heading1"/>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21"/>
        <w:gridCol w:w="8499"/>
      </w:tblGrid>
      <w:tr>
        <w:trPr>
          <w:tblHeader/>
        </w:trPr>
        <w:tc>
          <w:tcPr>
            <w:tcW w:type="dxa" w:w="521"/>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8499"/>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521"/>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8499"/>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521"/>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8499"/>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521"/>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8499"/>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521"/>
            <w:tcMar>
              <w:top w:type="dxa" w:w="60"/>
              <w:left w:type="dxa" w:w="100"/>
              <w:bottom w:type="dxa" w:w="60"/>
              <w:right w:type="dxa" w:w="100"/>
            </w:tcMar>
          </w:tcPr>
          <w:p>
            <w:pPr>
              <w:spacing w:after="0" w:before="0"/>
            </w:pPr>
            <w:r>
              <w:rPr>
                <w:b w:val="false"/>
                <w:bCs w:val="false"/>
                <w:i w:val="false"/>
                <w:iCs w:val="false"/>
              </w:rPr>
              <w:t xml:space="preserve">Data</w:t>
            </w:r>
          </w:p>
        </w:tc>
        <w:tc>
          <w:tcPr>
            <w:tcW w:type="dxa" w:w="8499"/>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521"/>
            <w:tcMar>
              <w:top w:type="dxa" w:w="60"/>
              <w:left w:type="dxa" w:w="100"/>
              <w:bottom w:type="dxa" w:w="60"/>
              <w:right w:type="dxa" w:w="100"/>
            </w:tcMar>
          </w:tcPr>
          <w:p>
            <w:pPr>
              <w:spacing w:after="0" w:before="0"/>
            </w:pPr>
            <w:r>
              <w:rPr>
                <w:b w:val="false"/>
                <w:bCs w:val="false"/>
                <w:i w:val="false"/>
                <w:iCs w:val="false"/>
              </w:rPr>
              <w:t xml:space="preserve">Security</w:t>
            </w:r>
          </w:p>
        </w:tc>
        <w:tc>
          <w:tcPr>
            <w:tcW w:type="dxa" w:w="8499"/>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521"/>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8499"/>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27"/>
        <w:gridCol w:w="692"/>
        <w:gridCol w:w="6801"/>
      </w:tblGrid>
      <w:tr>
        <w:trPr>
          <w:tblHeader/>
        </w:trPr>
        <w:tc>
          <w:tcPr>
            <w:tcW w:type="dxa" w:w="1527"/>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692"/>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6801"/>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27"/>
            <w:tcMar>
              <w:top w:type="dxa" w:w="60"/>
              <w:left w:type="dxa" w:w="100"/>
              <w:bottom w:type="dxa" w:w="60"/>
              <w:right w:type="dxa" w:w="100"/>
            </w:tcMar>
          </w:tcPr>
          <w:p>
            <w:pPr>
              <w:spacing w:after="0" w:before="0"/>
            </w:pPr>
            <w:r>
              <w:rPr>
                <w:b w:val="false"/>
                <w:bCs w:val="false"/>
                <w:i w:val="false"/>
                <w:iCs w:val="false"/>
              </w:rPr>
              <w:t xml:space="preserve">NRIS</w:t>
            </w:r>
          </w:p>
        </w:tc>
        <w:tc>
          <w:tcPr>
            <w:tcW w:type="dxa" w:w="692"/>
            <w:tcMar>
              <w:top w:type="dxa" w:w="60"/>
              <w:left w:type="dxa" w:w="100"/>
              <w:bottom w:type="dxa" w:w="60"/>
              <w:right w:type="dxa" w:w="100"/>
            </w:tcMar>
          </w:tcPr>
          <w:p>
            <w:pPr>
              <w:spacing w:after="0" w:before="0"/>
            </w:pPr>
            <w:r>
              <w:rPr>
                <w:b w:val="false"/>
                <w:bCs w:val="false"/>
                <w:i w:val="false"/>
                <w:iCs w:val="false"/>
              </w:rPr>
              <w:t xml:space="preserve">Inbound</w:t>
            </w:r>
          </w:p>
        </w:tc>
        <w:tc>
          <w:tcPr>
            <w:tcW w:type="dxa" w:w="6801"/>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527"/>
            <w:tcMar>
              <w:top w:type="dxa" w:w="60"/>
              <w:left w:type="dxa" w:w="100"/>
              <w:bottom w:type="dxa" w:w="60"/>
              <w:right w:type="dxa" w:w="100"/>
            </w:tcMar>
          </w:tcPr>
          <w:p>
            <w:pPr>
              <w:spacing w:after="0" w:before="0"/>
            </w:pPr>
            <w:r>
              <w:rPr>
                <w:b w:val="false"/>
                <w:bCs w:val="false"/>
                <w:i w:val="false"/>
                <w:iCs w:val="false"/>
              </w:rPr>
              <w:t xml:space="preserve">NRIS</w:t>
            </w:r>
          </w:p>
        </w:tc>
        <w:tc>
          <w:tcPr>
            <w:tcW w:type="dxa" w:w="692"/>
            <w:tcMar>
              <w:top w:type="dxa" w:w="60"/>
              <w:left w:type="dxa" w:w="100"/>
              <w:bottom w:type="dxa" w:w="60"/>
              <w:right w:type="dxa" w:w="100"/>
            </w:tcMar>
          </w:tcPr>
          <w:p>
            <w:pPr>
              <w:spacing w:after="0" w:before="0"/>
            </w:pPr>
            <w:r>
              <w:rPr>
                <w:b w:val="false"/>
                <w:bCs w:val="false"/>
                <w:i w:val="false"/>
                <w:iCs w:val="false"/>
              </w:rPr>
              <w:t xml:space="preserve">Outbound</w:t>
            </w:r>
          </w:p>
        </w:tc>
        <w:tc>
          <w:tcPr>
            <w:tcW w:type="dxa" w:w="6801"/>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527"/>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692"/>
            <w:tcMar>
              <w:top w:type="dxa" w:w="60"/>
              <w:left w:type="dxa" w:w="100"/>
              <w:bottom w:type="dxa" w:w="60"/>
              <w:right w:type="dxa" w:w="100"/>
            </w:tcMar>
          </w:tcPr>
          <w:p>
            <w:pPr>
              <w:spacing w:after="0" w:before="0"/>
            </w:pPr>
            <w:r>
              <w:rPr>
                <w:b w:val="false"/>
                <w:bCs w:val="false"/>
                <w:i w:val="false"/>
                <w:iCs w:val="false"/>
              </w:rPr>
              <w:t xml:space="preserve">Outbound</w:t>
            </w:r>
          </w:p>
        </w:tc>
        <w:tc>
          <w:tcPr>
            <w:tcW w:type="dxa" w:w="6801"/>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527"/>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692"/>
            <w:tcMar>
              <w:top w:type="dxa" w:w="60"/>
              <w:left w:type="dxa" w:w="100"/>
              <w:bottom w:type="dxa" w:w="60"/>
              <w:right w:type="dxa" w:w="100"/>
            </w:tcMar>
          </w:tcPr>
          <w:p>
            <w:pPr>
              <w:spacing w:after="0" w:before="0"/>
            </w:pPr>
            <w:r>
              <w:rPr>
                <w:b w:val="false"/>
                <w:bCs w:val="false"/>
                <w:i w:val="false"/>
                <w:iCs w:val="false"/>
              </w:rPr>
              <w:t xml:space="preserve">Inbound</w:t>
            </w:r>
          </w:p>
        </w:tc>
        <w:tc>
          <w:tcPr>
            <w:tcW w:type="dxa" w:w="6801"/>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527"/>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692"/>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6801"/>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527"/>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692"/>
            <w:tcMar>
              <w:top w:type="dxa" w:w="60"/>
              <w:left w:type="dxa" w:w="100"/>
              <w:bottom w:type="dxa" w:w="60"/>
              <w:right w:type="dxa" w:w="100"/>
            </w:tcMar>
          </w:tcPr>
          <w:p>
            <w:pPr>
              <w:spacing w:after="0" w:before="0"/>
            </w:pPr>
            <w:r>
              <w:rPr>
                <w:b w:val="false"/>
                <w:bCs w:val="false"/>
                <w:i w:val="false"/>
                <w:iCs w:val="false"/>
              </w:rPr>
              <w:t xml:space="preserve">Outbound</w:t>
            </w:r>
          </w:p>
        </w:tc>
        <w:tc>
          <w:tcPr>
            <w:tcW w:type="dxa" w:w="6801"/>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527"/>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692"/>
            <w:tcMar>
              <w:top w:type="dxa" w:w="60"/>
              <w:left w:type="dxa" w:w="100"/>
              <w:bottom w:type="dxa" w:w="60"/>
              <w:right w:type="dxa" w:w="100"/>
            </w:tcMar>
          </w:tcPr>
          <w:p>
            <w:pPr>
              <w:spacing w:after="0" w:before="0"/>
            </w:pPr>
            <w:r>
              <w:rPr>
                <w:b w:val="false"/>
                <w:bCs w:val="false"/>
                <w:i w:val="false"/>
                <w:iCs w:val="false"/>
              </w:rPr>
              <w:t xml:space="preserve">Outbound</w:t>
            </w:r>
          </w:p>
        </w:tc>
        <w:tc>
          <w:tcPr>
            <w:tcW w:type="dxa" w:w="6801"/>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4"/>
        <w:gridCol w:w="8004"/>
        <w:gridCol w:w="692"/>
      </w:tblGrid>
      <w:tr>
        <w:trPr>
          <w:tblHeader/>
        </w:trPr>
        <w:tc>
          <w:tcPr>
            <w:tcW w:type="dxa" w:w="324"/>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8004"/>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692"/>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1</w:t>
            </w:r>
          </w:p>
        </w:tc>
        <w:tc>
          <w:tcPr>
            <w:tcW w:type="dxa" w:w="8004"/>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692"/>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2</w:t>
            </w:r>
          </w:p>
        </w:tc>
        <w:tc>
          <w:tcPr>
            <w:tcW w:type="dxa" w:w="8004"/>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692"/>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3</w:t>
            </w:r>
          </w:p>
        </w:tc>
        <w:tc>
          <w:tcPr>
            <w:tcW w:type="dxa" w:w="8004"/>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692"/>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4</w:t>
            </w:r>
          </w:p>
        </w:tc>
        <w:tc>
          <w:tcPr>
            <w:tcW w:type="dxa" w:w="8004"/>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69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5</w:t>
            </w:r>
          </w:p>
        </w:tc>
        <w:tc>
          <w:tcPr>
            <w:tcW w:type="dxa" w:w="8004"/>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69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6</w:t>
            </w:r>
          </w:p>
        </w:tc>
        <w:tc>
          <w:tcPr>
            <w:tcW w:type="dxa" w:w="8004"/>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692"/>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7</w:t>
            </w:r>
          </w:p>
        </w:tc>
        <w:tc>
          <w:tcPr>
            <w:tcW w:type="dxa" w:w="8004"/>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692"/>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8</w:t>
            </w:r>
          </w:p>
        </w:tc>
        <w:tc>
          <w:tcPr>
            <w:tcW w:type="dxa" w:w="8004"/>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692"/>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9</w:t>
            </w:r>
          </w:p>
        </w:tc>
        <w:tc>
          <w:tcPr>
            <w:tcW w:type="dxa" w:w="8004"/>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69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10</w:t>
            </w:r>
          </w:p>
        </w:tc>
        <w:tc>
          <w:tcPr>
            <w:tcW w:type="dxa" w:w="8004"/>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69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11</w:t>
            </w:r>
          </w:p>
        </w:tc>
        <w:tc>
          <w:tcPr>
            <w:tcW w:type="dxa" w:w="8004"/>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692"/>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12</w:t>
            </w:r>
          </w:p>
        </w:tc>
        <w:tc>
          <w:tcPr>
            <w:tcW w:type="dxa" w:w="8004"/>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692"/>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324"/>
            <w:tcMar>
              <w:top w:type="dxa" w:w="60"/>
              <w:left w:type="dxa" w:w="100"/>
              <w:bottom w:type="dxa" w:w="60"/>
              <w:right w:type="dxa" w:w="100"/>
            </w:tcMar>
          </w:tcPr>
          <w:p>
            <w:pPr>
              <w:spacing w:after="0" w:before="0"/>
            </w:pPr>
            <w:r>
              <w:rPr>
                <w:b w:val="false"/>
                <w:bCs w:val="false"/>
                <w:i w:val="false"/>
                <w:iCs w:val="false"/>
              </w:rPr>
              <w:t xml:space="preserve">13</w:t>
            </w:r>
          </w:p>
        </w:tc>
        <w:tc>
          <w:tcPr>
            <w:tcW w:type="dxa" w:w="8004"/>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692"/>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38"/>
        <w:gridCol w:w="3610"/>
        <w:gridCol w:w="4672"/>
      </w:tblGrid>
      <w:tr>
        <w:trPr>
          <w:tblHeader/>
        </w:trPr>
        <w:tc>
          <w:tcPr>
            <w:tcW w:type="dxa" w:w="738"/>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610"/>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672"/>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738"/>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610"/>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672"/>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738"/>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610"/>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672"/>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738"/>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610"/>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672"/>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738"/>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610"/>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672"/>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738"/>
            <w:tcMar>
              <w:top w:type="dxa" w:w="60"/>
              <w:left w:type="dxa" w:w="100"/>
              <w:bottom w:type="dxa" w:w="60"/>
              <w:right w:type="dxa" w:w="100"/>
            </w:tcMar>
          </w:tcPr>
          <w:p>
            <w:pPr>
              <w:spacing w:after="0" w:before="0"/>
            </w:pPr>
            <w:r>
              <w:rPr>
                <w:b w:val="false"/>
                <w:bCs w:val="false"/>
                <w:i w:val="false"/>
                <w:iCs w:val="false"/>
              </w:rPr>
              <w:t xml:space="preserve">Renewal</w:t>
            </w:r>
          </w:p>
        </w:tc>
        <w:tc>
          <w:tcPr>
            <w:tcW w:type="dxa" w:w="3610"/>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672"/>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738"/>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610"/>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672"/>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r>
        <w:br w:type="page"/>
      </w:r>
    </w:p>
    <w:p>
      <w:r>
        <w:br w:type="page"/>
      </w:r>
    </w:p>
    <w:p>
      <w:pPr>
        <w:pStyle w:val="Heading1"/>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6920"/>
      </w:tblGrid>
      <w:tr>
        <w:trPr>
          <w:tblHeader/>
        </w:trPr>
        <w:tc>
          <w:tcPr>
            <w:tcW w:type="dxa" w:w="210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2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20"/>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20"/>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20"/>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20"/>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Air compressor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Supplies the pneumatic transport and handling functions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20"/>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20"/>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20"/>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4"/>
        <w:gridCol w:w="6656"/>
      </w:tblGrid>
      <w:tr>
        <w:trPr>
          <w:tblHeader/>
        </w:trPr>
        <w:tc>
          <w:tcPr>
            <w:tcW w:type="dxa" w:w="2364"/>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56"/>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2,000 cards per hour, duplex</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56"/>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56"/>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56"/>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56"/>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r>
        <w:br w:type="page"/>
      </w:r>
    </w:p>
    <w:p>
      <w:r>
        <w:br w:type="page"/>
      </w:r>
    </w:p>
    <w:p>
      <w:pPr>
        <w:pStyle w:val="Heading1"/>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66"/>
        <w:gridCol w:w="7154"/>
      </w:tblGrid>
      <w:tr>
        <w:trPr>
          <w:tblHeader/>
        </w:trPr>
        <w:tc>
          <w:tcPr>
            <w:tcW w:type="dxa" w:w="1866"/>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54"/>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66"/>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54"/>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66"/>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54"/>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66"/>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54"/>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66"/>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54"/>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66"/>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54"/>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66"/>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54"/>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66"/>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54"/>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66"/>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54"/>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66"/>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54"/>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comply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are provided, from an independent international laboratory holding ISO/IEC 17025 accreditation with a scope covering these standards, dated within the last three years, and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r>
        <w:br w:type="page"/>
      </w:r>
    </w:p>
    <w:p>
      <w:r>
        <w:br w:type="page"/>
      </w:r>
    </w:p>
    <w:p>
      <w:pPr>
        <w:pStyle w:val="Heading1"/>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r>
        <w:br w:type="page"/>
      </w:r>
    </w:p>
    <w:p>
      <w:r>
        <w:br w:type="page"/>
      </w:r>
    </w:p>
    <w:p>
      <w:pPr>
        <w:pStyle w:val="Heading1"/>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86"/>
        <w:gridCol w:w="7534"/>
      </w:tblGrid>
      <w:tr>
        <w:trPr>
          <w:tblHeader/>
        </w:trPr>
        <w:tc>
          <w:tcPr>
            <w:tcW w:type="dxa" w:w="1486"/>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34"/>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86"/>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534"/>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486"/>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534"/>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486"/>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534"/>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486"/>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534"/>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486"/>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534"/>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97"/>
        <w:gridCol w:w="7723"/>
      </w:tblGrid>
      <w:tr>
        <w:trPr>
          <w:tblHeader/>
        </w:trPr>
        <w:tc>
          <w:tcPr>
            <w:tcW w:type="dxa" w:w="1297"/>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723"/>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297"/>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723"/>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297"/>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723"/>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297"/>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723"/>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297"/>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723"/>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297"/>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723"/>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18"/>
        <w:gridCol w:w="7402"/>
      </w:tblGrid>
      <w:tr>
        <w:trPr>
          <w:tblHeader/>
        </w:trPr>
        <w:tc>
          <w:tcPr>
            <w:tcW w:type="dxa" w:w="161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0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18"/>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402"/>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1618"/>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402"/>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1618"/>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402"/>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1618"/>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402"/>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1618"/>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402"/>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1618"/>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402"/>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1618"/>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402"/>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1618"/>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402"/>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96"/>
        <w:gridCol w:w="7924"/>
      </w:tblGrid>
      <w:tr>
        <w:trPr>
          <w:tblHeader/>
        </w:trPr>
        <w:tc>
          <w:tcPr>
            <w:tcW w:type="dxa" w:w="1096"/>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24"/>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096"/>
            <w:tcMar>
              <w:top w:type="dxa" w:w="60"/>
              <w:left w:type="dxa" w:w="100"/>
              <w:bottom w:type="dxa" w:w="60"/>
              <w:right w:type="dxa" w:w="100"/>
            </w:tcMar>
          </w:tcPr>
          <w:p>
            <w:pPr>
              <w:spacing w:after="0" w:before="0"/>
            </w:pPr>
            <w:r>
              <w:rPr>
                <w:b w:val="false"/>
                <w:bCs w:val="false"/>
                <w:i w:val="false"/>
                <w:iCs w:val="false"/>
              </w:rPr>
              <w:t xml:space="preserve">Receipt</w:t>
            </w:r>
          </w:p>
        </w:tc>
        <w:tc>
          <w:tcPr>
            <w:tcW w:type="dxa" w:w="7924"/>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096"/>
            <w:tcMar>
              <w:top w:type="dxa" w:w="60"/>
              <w:left w:type="dxa" w:w="100"/>
              <w:bottom w:type="dxa" w:w="60"/>
              <w:right w:type="dxa" w:w="100"/>
            </w:tcMar>
          </w:tcPr>
          <w:p>
            <w:pPr>
              <w:spacing w:after="0" w:before="0"/>
            </w:pPr>
            <w:r>
              <w:rPr>
                <w:b w:val="false"/>
                <w:bCs w:val="false"/>
                <w:i w:val="false"/>
                <w:iCs w:val="false"/>
              </w:rPr>
              <w:t xml:space="preserve">Issue</w:t>
            </w:r>
          </w:p>
        </w:tc>
        <w:tc>
          <w:tcPr>
            <w:tcW w:type="dxa" w:w="7924"/>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096"/>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924"/>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096"/>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924"/>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096"/>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924"/>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096"/>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924"/>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096"/>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924"/>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096"/>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924"/>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10"/>
        <w:gridCol w:w="8310"/>
      </w:tblGrid>
      <w:tr>
        <w:trPr>
          <w:tblHeader/>
        </w:trPr>
        <w:tc>
          <w:tcPr>
            <w:tcW w:type="dxa" w:w="71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1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71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831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71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831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71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831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71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831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71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831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88"/>
        <w:gridCol w:w="7432"/>
      </w:tblGrid>
      <w:tr>
        <w:trPr>
          <w:tblHeader/>
        </w:trPr>
        <w:tc>
          <w:tcPr>
            <w:tcW w:type="dxa" w:w="158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3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432"/>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432"/>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432"/>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432"/>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432"/>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432"/>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432"/>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432"/>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432"/>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432"/>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07"/>
        <w:gridCol w:w="1585"/>
        <w:gridCol w:w="6128"/>
      </w:tblGrid>
      <w:tr>
        <w:trPr>
          <w:tblHeader/>
        </w:trPr>
        <w:tc>
          <w:tcPr>
            <w:tcW w:type="dxa" w:w="1307"/>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585"/>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6128"/>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307"/>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585"/>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6128"/>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58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128"/>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585"/>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6128"/>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585"/>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6128"/>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585"/>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6128"/>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585"/>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6128"/>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585"/>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6128"/>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585"/>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6128"/>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585"/>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6128"/>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85"/>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6128"/>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307"/>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585"/>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6128"/>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6"/>
        <w:gridCol w:w="1619"/>
        <w:gridCol w:w="6545"/>
      </w:tblGrid>
      <w:tr>
        <w:trPr>
          <w:tblHeader/>
        </w:trPr>
        <w:tc>
          <w:tcPr>
            <w:tcW w:type="dxa" w:w="856"/>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619"/>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545"/>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856"/>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619"/>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545"/>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856"/>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619"/>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545"/>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856"/>
            <w:tcMar>
              <w:top w:type="dxa" w:w="60"/>
              <w:left w:type="dxa" w:w="100"/>
              <w:bottom w:type="dxa" w:w="60"/>
              <w:right w:type="dxa" w:w="100"/>
            </w:tcMar>
          </w:tcPr>
          <w:p>
            <w:pPr>
              <w:spacing w:after="0" w:before="0"/>
            </w:pPr>
            <w:r>
              <w:rPr>
                <w:b w:val="false"/>
                <w:bCs w:val="false"/>
                <w:i w:val="false"/>
                <w:iCs w:val="false"/>
              </w:rPr>
              <w:t xml:space="preserve">Mailing</w:t>
            </w:r>
          </w:p>
        </w:tc>
        <w:tc>
          <w:tcPr>
            <w:tcW w:type="dxa" w:w="1619"/>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545"/>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856"/>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619"/>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545"/>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856"/>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619"/>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545"/>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r>
        <w:br w:type="page"/>
      </w:r>
    </w:p>
    <w:p>
      <w:r>
        <w:br w:type="page"/>
      </w:r>
    </w:p>
    <w:p>
      <w:pPr>
        <w:pStyle w:val="Heading1"/>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8"/>
        <w:gridCol w:w="7582"/>
      </w:tblGrid>
      <w:tr>
        <w:trPr>
          <w:tblHeader/>
        </w:trPr>
        <w:tc>
          <w:tcPr>
            <w:tcW w:type="dxa" w:w="143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582"/>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8"/>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582"/>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438"/>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582"/>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438"/>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582"/>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438"/>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582"/>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60"/>
        <w:gridCol w:w="7860"/>
      </w:tblGrid>
      <w:tr>
        <w:trPr>
          <w:tblHeader/>
        </w:trPr>
        <w:tc>
          <w:tcPr>
            <w:tcW w:type="dxa" w:w="116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86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16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86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16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86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16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86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24"/>
        <w:gridCol w:w="7696"/>
      </w:tblGrid>
      <w:tr>
        <w:trPr>
          <w:tblHeader/>
        </w:trPr>
        <w:tc>
          <w:tcPr>
            <w:tcW w:type="dxa" w:w="1324"/>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696"/>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324"/>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696"/>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324"/>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696"/>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324"/>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696"/>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324"/>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696"/>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324"/>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696"/>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324"/>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696"/>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61"/>
        <w:gridCol w:w="7659"/>
      </w:tblGrid>
      <w:tr>
        <w:trPr>
          <w:tblHeader/>
        </w:trPr>
        <w:tc>
          <w:tcPr>
            <w:tcW w:type="dxa" w:w="1361"/>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65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361"/>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659"/>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361"/>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659"/>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361"/>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659"/>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361"/>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659"/>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361"/>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659"/>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01"/>
        <w:gridCol w:w="7719"/>
      </w:tblGrid>
      <w:tr>
        <w:trPr>
          <w:tblHeader/>
        </w:trPr>
        <w:tc>
          <w:tcPr>
            <w:tcW w:type="dxa" w:w="1301"/>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7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301"/>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719"/>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301"/>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719"/>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301"/>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719"/>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301"/>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719"/>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301"/>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719"/>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74"/>
        <w:gridCol w:w="7046"/>
      </w:tblGrid>
      <w:tr>
        <w:trPr>
          <w:tblHeader/>
        </w:trPr>
        <w:tc>
          <w:tcPr>
            <w:tcW w:type="dxa" w:w="1974"/>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46"/>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74"/>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46"/>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1974"/>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46"/>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1974"/>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46"/>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1974"/>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46"/>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1974"/>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46"/>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10"/>
        <w:gridCol w:w="7610"/>
      </w:tblGrid>
      <w:tr>
        <w:trPr>
          <w:tblHeader/>
        </w:trPr>
        <w:tc>
          <w:tcPr>
            <w:tcW w:type="dxa" w:w="141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61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41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61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41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61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41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61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41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61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41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61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41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61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88"/>
        <w:gridCol w:w="7432"/>
      </w:tblGrid>
      <w:tr>
        <w:trPr>
          <w:tblHeader/>
        </w:trPr>
        <w:tc>
          <w:tcPr>
            <w:tcW w:type="dxa" w:w="1588"/>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432"/>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432"/>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432"/>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432"/>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432"/>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588"/>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432"/>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76"/>
        <w:gridCol w:w="7244"/>
      </w:tblGrid>
      <w:tr>
        <w:trPr>
          <w:tblHeader/>
        </w:trPr>
        <w:tc>
          <w:tcPr>
            <w:tcW w:type="dxa" w:w="1776"/>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4"/>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76"/>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4"/>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76"/>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4"/>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76"/>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4"/>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76"/>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4"/>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r>
        <w:br w:type="page"/>
      </w:r>
    </w:p>
    <w:p>
      <w:r>
        <w:br w:type="page"/>
      </w:r>
    </w:p>
    <w:p>
      <w:pPr>
        <w:pStyle w:val="Heading1"/>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65"/>
        <w:gridCol w:w="7655"/>
      </w:tblGrid>
      <w:tr>
        <w:trPr>
          <w:tblHeader/>
        </w:trPr>
        <w:tc>
          <w:tcPr>
            <w:tcW w:type="dxa" w:w="1365"/>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655"/>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365"/>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655"/>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365"/>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655"/>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365"/>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655"/>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365"/>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655"/>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365"/>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655"/>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365"/>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655"/>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53"/>
        <w:gridCol w:w="7867"/>
      </w:tblGrid>
      <w:tr>
        <w:trPr>
          <w:tblHeader/>
        </w:trPr>
        <w:tc>
          <w:tcPr>
            <w:tcW w:type="dxa" w:w="1153"/>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867"/>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153"/>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867"/>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153"/>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867"/>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153"/>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867"/>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153"/>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867"/>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153"/>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867"/>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r>
        <w:br w:type="page"/>
      </w:r>
    </w:p>
    <w:p>
      <w:r>
        <w:br w:type="page"/>
      </w:r>
    </w:p>
    <w:p>
      <w:pPr>
        <w:pStyle w:val="Heading1"/>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23"/>
        <w:gridCol w:w="3314"/>
        <w:gridCol w:w="4383"/>
      </w:tblGrid>
      <w:tr>
        <w:trPr>
          <w:tblHeader/>
        </w:trPr>
        <w:tc>
          <w:tcPr>
            <w:tcW w:type="dxa" w:w="1323"/>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31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383"/>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323"/>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314"/>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383"/>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323"/>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314"/>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383"/>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323"/>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314"/>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383"/>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323"/>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314"/>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383"/>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323"/>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314"/>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383"/>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323"/>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314"/>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383"/>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323"/>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314"/>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383"/>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solid-state drives in a protected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The application cluster of two hosts carries the integration, application, machine control, management and security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92"/>
        <w:gridCol w:w="433"/>
        <w:gridCol w:w="7195"/>
      </w:tblGrid>
      <w:tr>
        <w:trPr>
          <w:tblHeader/>
        </w:trPr>
        <w:tc>
          <w:tcPr>
            <w:tcW w:type="dxa" w:w="1392"/>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433"/>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7195"/>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392"/>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433"/>
            <w:tcMar>
              <w:top w:type="dxa" w:w="60"/>
              <w:left w:type="dxa" w:w="100"/>
              <w:bottom w:type="dxa" w:w="60"/>
              <w:right w:type="dxa" w:w="100"/>
            </w:tcMar>
          </w:tcPr>
          <w:p>
            <w:pPr>
              <w:spacing w:after="0" w:before="0"/>
            </w:pPr>
            <w:r>
              <w:rPr>
                <w:b w:val="false"/>
                <w:bCs w:val="false"/>
                <w:i w:val="false"/>
                <w:iCs w:val="false"/>
              </w:rPr>
              <w:t xml:space="preserve">2</w:t>
            </w:r>
          </w:p>
        </w:tc>
        <w:tc>
          <w:tcPr>
            <w:tcW w:type="dxa" w:w="7195"/>
            <w:tcMar>
              <w:top w:type="dxa" w:w="60"/>
              <w:left w:type="dxa" w:w="100"/>
              <w:bottom w:type="dxa" w:w="60"/>
              <w:right w:type="dxa" w:w="100"/>
            </w:tcMar>
          </w:tcPr>
          <w:p>
            <w:pPr>
              <w:spacing w:after="0" w:before="0"/>
            </w:pPr>
            <w:r>
              <w:rPr>
                <w:b w:val="false"/>
                <w:bCs w:val="false"/>
                <w:i w:val="false"/>
                <w:iCs w:val="false"/>
              </w:rPr>
              <w:t xml:space="preserve">Application cluster with automated failover over the storage array, carrying the integration, application, machine control, management and security virtual machines and the non-production environments, each sized to run every production virtual machine of the cluster alone</w:t>
            </w:r>
          </w:p>
        </w:tc>
      </w:tr>
      <w:tr>
        <w:tc>
          <w:tcPr>
            <w:tcW w:type="dxa" w:w="1392"/>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433"/>
            <w:tcMar>
              <w:top w:type="dxa" w:w="60"/>
              <w:left w:type="dxa" w:w="100"/>
              <w:bottom w:type="dxa" w:w="60"/>
              <w:right w:type="dxa" w:w="100"/>
            </w:tcMar>
          </w:tcPr>
          <w:p>
            <w:pPr>
              <w:spacing w:after="0" w:before="0"/>
            </w:pPr>
            <w:r>
              <w:rPr>
                <w:b w:val="false"/>
                <w:bCs w:val="false"/>
                <w:i w:val="false"/>
                <w:iCs w:val="false"/>
              </w:rPr>
              <w:t xml:space="preserve">2</w:t>
            </w:r>
          </w:p>
        </w:tc>
        <w:tc>
          <w:tcPr>
            <w:tcW w:type="dxa" w:w="7195"/>
            <w:tcMar>
              <w:top w:type="dxa" w:w="60"/>
              <w:left w:type="dxa" w:w="100"/>
              <w:bottom w:type="dxa" w:w="60"/>
              <w:right w:type="dxa" w:w="100"/>
            </w:tcMar>
          </w:tcPr>
          <w:p>
            <w:pPr>
              <w:spacing w:after="0" w:before="0"/>
            </w:pPr>
            <w:r>
              <w:rPr>
                <w:b w:val="false"/>
                <w:bCs w:val="false"/>
                <w:i w:val="false"/>
                <w:iCs w:val="false"/>
              </w:rPr>
              <w:t xml:space="preserve">Database cluster over the storage array, one database node on each host</w:t>
            </w:r>
          </w:p>
        </w:tc>
      </w:tr>
      <w:tr>
        <w:tc>
          <w:tcPr>
            <w:tcW w:type="dxa" w:w="1392"/>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433"/>
            <w:tcMar>
              <w:top w:type="dxa" w:w="60"/>
              <w:left w:type="dxa" w:w="100"/>
              <w:bottom w:type="dxa" w:w="60"/>
              <w:right w:type="dxa" w:w="100"/>
            </w:tcMar>
          </w:tcPr>
          <w:p>
            <w:pPr>
              <w:spacing w:after="0" w:before="0"/>
            </w:pPr>
            <w:r>
              <w:rPr>
                <w:b w:val="false"/>
                <w:bCs w:val="false"/>
                <w:i w:val="false"/>
                <w:iCs w:val="false"/>
              </w:rPr>
              <w:t xml:space="preserve">1</w:t>
            </w:r>
          </w:p>
        </w:tc>
        <w:tc>
          <w:tcPr>
            <w:tcW w:type="dxa" w:w="7195"/>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with dual controllers, redundant power and solid-state drives in a protected pool</w:t>
            </w:r>
          </w:p>
        </w:tc>
      </w:tr>
      <w:tr>
        <w:tc>
          <w:tcPr>
            <w:tcW w:type="dxa" w:w="1392"/>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433"/>
            <w:tcMar>
              <w:top w:type="dxa" w:w="60"/>
              <w:left w:type="dxa" w:w="100"/>
              <w:bottom w:type="dxa" w:w="60"/>
              <w:right w:type="dxa" w:w="100"/>
            </w:tcMar>
          </w:tcPr>
          <w:p>
            <w:pPr>
              <w:spacing w:after="0" w:before="0"/>
            </w:pPr>
            <w:r>
              <w:rPr>
                <w:b w:val="false"/>
                <w:bCs w:val="false"/>
                <w:i w:val="false"/>
                <w:iCs w:val="false"/>
              </w:rPr>
              <w:t xml:space="preserve">1</w:t>
            </w:r>
          </w:p>
        </w:tc>
        <w:tc>
          <w:tcPr>
            <w:tcW w:type="dxa" w:w="7195"/>
            <w:tcMar>
              <w:top w:type="dxa" w:w="60"/>
              <w:left w:type="dxa" w:w="100"/>
              <w:bottom w:type="dxa" w:w="60"/>
              <w:right w:type="dxa" w:w="100"/>
            </w:tcMar>
          </w:tcPr>
          <w:p>
            <w:pPr>
              <w:spacing w:after="0" w:before="0"/>
            </w:pPr>
            <w:r>
              <w:rPr>
                <w:b w:val="false"/>
                <w:bCs w:val="false"/>
                <w:i w:val="false"/>
                <w:iCs w:val="false"/>
              </w:rPr>
              <w:t xml:space="preserve">Not less than 40 TB usable, covering retention cycles, with copies that no administrator can alter or delete before their retention ends</w:t>
            </w:r>
          </w:p>
        </w:tc>
      </w:tr>
      <w:tr>
        <w:tc>
          <w:tcPr>
            <w:tcW w:type="dxa" w:w="1392"/>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433"/>
            <w:tcMar>
              <w:top w:type="dxa" w:w="60"/>
              <w:left w:type="dxa" w:w="100"/>
              <w:bottom w:type="dxa" w:w="60"/>
              <w:right w:type="dxa" w:w="100"/>
            </w:tcMar>
          </w:tcPr>
          <w:p>
            <w:pPr>
              <w:spacing w:after="0" w:before="0"/>
            </w:pPr>
            <w:r>
              <w:rPr>
                <w:b w:val="false"/>
                <w:bCs w:val="false"/>
                <w:i w:val="false"/>
                <w:iCs w:val="false"/>
              </w:rPr>
              <w:t xml:space="preserve">2</w:t>
            </w:r>
          </w:p>
        </w:tc>
        <w:tc>
          <w:tcPr>
            <w:tcW w:type="dxa" w:w="7195"/>
            <w:tcMar>
              <w:top w:type="dxa" w:w="60"/>
              <w:left w:type="dxa" w:w="100"/>
              <w:bottom w:type="dxa" w:w="60"/>
              <w:right w:type="dxa" w:w="100"/>
            </w:tcMar>
          </w:tcPr>
          <w:p>
            <w:pPr>
              <w:spacing w:after="0" w:before="0"/>
            </w:pPr>
            <w:r>
              <w:rPr>
                <w:b w:val="false"/>
                <w:bCs w:val="false"/>
                <w:i w:val="false"/>
                <w:iCs w:val="false"/>
              </w:rPr>
              <w:t xml:space="preserve">Redundant pair carrying the zone VLANs and the storage network</w:t>
            </w:r>
          </w:p>
        </w:tc>
      </w:tr>
      <w:tr>
        <w:tc>
          <w:tcPr>
            <w:tcW w:type="dxa" w:w="1392"/>
            <w:tcMar>
              <w:top w:type="dxa" w:w="60"/>
              <w:left w:type="dxa" w:w="100"/>
              <w:bottom w:type="dxa" w:w="60"/>
              <w:right w:type="dxa" w:w="100"/>
            </w:tcMar>
          </w:tcPr>
          <w:p>
            <w:pPr>
              <w:spacing w:after="0" w:before="0"/>
            </w:pPr>
            <w:r>
              <w:rPr>
                <w:b w:val="false"/>
                <w:bCs w:val="false"/>
                <w:i w:val="false"/>
                <w:iCs w:val="false"/>
              </w:rPr>
              <w:t xml:space="preserve">Access switches</w:t>
            </w:r>
          </w:p>
        </w:tc>
        <w:tc>
          <w:tcPr>
            <w:tcW w:type="dxa" w:w="433"/>
            <w:tcMar>
              <w:top w:type="dxa" w:w="60"/>
              <w:left w:type="dxa" w:w="100"/>
              <w:bottom w:type="dxa" w:w="60"/>
              <w:right w:type="dxa" w:w="100"/>
            </w:tcMar>
          </w:tcPr>
          <w:p>
            <w:pPr>
              <w:spacing w:after="0" w:before="0"/>
            </w:pPr>
            <w:r>
              <w:rPr>
                <w:b w:val="false"/>
                <w:bCs w:val="false"/>
                <w:i w:val="false"/>
                <w:iCs w:val="false"/>
              </w:rPr>
              <w:t xml:space="preserve">2</w:t>
            </w:r>
          </w:p>
        </w:tc>
        <w:tc>
          <w:tcPr>
            <w:tcW w:type="dxa" w:w="7195"/>
            <w:tcMar>
              <w:top w:type="dxa" w:w="60"/>
              <w:left w:type="dxa" w:w="100"/>
              <w:bottom w:type="dxa" w:w="60"/>
              <w:right w:type="dxa" w:w="100"/>
            </w:tcMar>
          </w:tcPr>
          <w:p>
            <w:pPr>
              <w:spacing w:after="0" w:before="0"/>
            </w:pPr>
            <w:r>
              <w:rPr>
                <w:b w:val="false"/>
                <w:bCs w:val="false"/>
                <w:i w:val="false"/>
                <w:iCs w:val="false"/>
              </w:rPr>
              <w:t xml:space="preserve">Machine Control Zone, each serving one personalization line and one mailing line, physically separate from the core pair</w:t>
            </w:r>
          </w:p>
        </w:tc>
      </w:tr>
      <w:tr>
        <w:tc>
          <w:tcPr>
            <w:tcW w:type="dxa" w:w="1392"/>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433"/>
            <w:tcMar>
              <w:top w:type="dxa" w:w="60"/>
              <w:left w:type="dxa" w:w="100"/>
              <w:bottom w:type="dxa" w:w="60"/>
              <w:right w:type="dxa" w:w="100"/>
            </w:tcMar>
          </w:tcPr>
          <w:p>
            <w:pPr>
              <w:spacing w:after="0" w:before="0"/>
            </w:pPr>
            <w:r>
              <w:rPr>
                <w:b w:val="false"/>
                <w:bCs w:val="false"/>
                <w:i w:val="false"/>
                <w:iCs w:val="false"/>
              </w:rPr>
              <w:t xml:space="preserve">2</w:t>
            </w:r>
          </w:p>
        </w:tc>
        <w:tc>
          <w:tcPr>
            <w:tcW w:type="dxa" w:w="7195"/>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392"/>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433"/>
            <w:tcMar>
              <w:top w:type="dxa" w:w="60"/>
              <w:left w:type="dxa" w:w="100"/>
              <w:bottom w:type="dxa" w:w="60"/>
              <w:right w:type="dxa" w:w="100"/>
            </w:tcMar>
          </w:tcPr>
          <w:p>
            <w:pPr>
              <w:spacing w:after="0" w:before="0"/>
            </w:pPr>
            <w:r>
              <w:rPr>
                <w:b w:val="false"/>
                <w:bCs w:val="false"/>
                <w:i w:val="false"/>
                <w:iCs w:val="false"/>
              </w:rPr>
              <w:t xml:space="preserve">2</w:t>
            </w:r>
          </w:p>
        </w:tc>
        <w:tc>
          <w:tcPr>
            <w:tcW w:type="dxa" w:w="7195"/>
            <w:tcMar>
              <w:top w:type="dxa" w:w="60"/>
              <w:left w:type="dxa" w:w="100"/>
              <w:bottom w:type="dxa" w:w="60"/>
              <w:right w:type="dxa" w:w="100"/>
            </w:tcMar>
          </w:tcPr>
          <w:p>
            <w:pPr>
              <w:spacing w:after="0" w:before="0"/>
            </w:pPr>
            <w:r>
              <w:rPr>
                <w:b w:val="false"/>
                <w:bCs w:val="false"/>
                <w:i w:val="false"/>
                <w:iCs w:val="false"/>
              </w:rPr>
              <w:t xml:space="preserve">High availability pair, described in </w:t>
            </w:r>
            <w:r>
              <w:rPr>
                <w:b w:val="false"/>
                <w:bCs w:val="false"/>
                <w:i w:val="false"/>
                <w:iCs w:val="false"/>
              </w:rPr>
              <w:t xml:space="preserve">Section </w:t>
            </w:r>
            <w:fldSimple w:instr="REF sec_10_4 \w \h">
              <w:r>
                <w:t xml:space="preserve">10.4</w:t>
              </w:r>
            </w:fldSimple>
          </w:p>
        </w:tc>
      </w:tr>
      <w:tr>
        <w:tc>
          <w:tcPr>
            <w:tcW w:type="dxa" w:w="139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433"/>
            <w:tcMar>
              <w:top w:type="dxa" w:w="60"/>
              <w:left w:type="dxa" w:w="100"/>
              <w:bottom w:type="dxa" w:w="60"/>
              <w:right w:type="dxa" w:w="100"/>
            </w:tcMar>
          </w:tcPr>
          <w:p>
            <w:pPr>
              <w:spacing w:after="0" w:before="0"/>
            </w:pPr>
            <w:r>
              <w:rPr>
                <w:b w:val="false"/>
                <w:bCs w:val="false"/>
                <w:i w:val="false"/>
                <w:iCs w:val="false"/>
              </w:rPr>
              <w:t xml:space="preserve">10</w:t>
            </w:r>
          </w:p>
        </w:tc>
        <w:tc>
          <w:tcPr>
            <w:tcW w:type="dxa" w:w="7195"/>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73"/>
        <w:gridCol w:w="6208"/>
        <w:gridCol w:w="1436"/>
        <w:gridCol w:w="403"/>
      </w:tblGrid>
      <w:tr>
        <w:trPr>
          <w:tblHeader/>
        </w:trPr>
        <w:tc>
          <w:tcPr>
            <w:tcW w:type="dxa" w:w="973"/>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6208"/>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36"/>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403"/>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6208"/>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36"/>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40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6208"/>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36"/>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40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6208"/>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36"/>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40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Database</w:t>
            </w:r>
          </w:p>
        </w:tc>
        <w:tc>
          <w:tcPr>
            <w:tcW w:type="dxa" w:w="6208"/>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36"/>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40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6208"/>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36"/>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40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08"/>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36"/>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40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6208"/>
            <w:tcMar>
              <w:top w:type="dxa" w:w="60"/>
              <w:left w:type="dxa" w:w="100"/>
              <w:bottom w:type="dxa" w:w="60"/>
              <w:right w:type="dxa" w:w="100"/>
            </w:tcMar>
          </w:tcPr>
          <w:p>
            <w:pPr>
              <w:spacing w:after="0" w:before="0"/>
            </w:pPr>
            <w:r>
              <w:rPr>
                <w:b w:val="false"/>
                <w:bCs w:val="false"/>
                <w:i w:val="false"/>
                <w:iCs w:val="false"/>
              </w:rPr>
              <w:t xml:space="preserve">Domain controller: the directory, authentication and name resolution for the estate, and its common time source. A second domain controller runs at the secondary site</w:t>
            </w:r>
          </w:p>
        </w:tc>
        <w:tc>
          <w:tcPr>
            <w:tcW w:type="dxa" w:w="1436"/>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40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6208"/>
            <w:tcMar>
              <w:top w:type="dxa" w:w="60"/>
              <w:left w:type="dxa" w:w="100"/>
              <w:bottom w:type="dxa" w:w="60"/>
              <w:right w:type="dxa" w:w="100"/>
            </w:tcMar>
          </w:tcPr>
          <w:p>
            <w:pPr>
              <w:spacing w:after="0" w:before="0"/>
            </w:pPr>
            <w:r>
              <w:rPr>
                <w:b w:val="false"/>
                <w:bCs w:val="false"/>
                <w:i w:val="false"/>
                <w:iCs w:val="false"/>
              </w:rPr>
              <w:t xml:space="preserve">Security information and event management, log aggregation, endpoint management</w:t>
            </w:r>
          </w:p>
        </w:tc>
        <w:tc>
          <w:tcPr>
            <w:tcW w:type="dxa" w:w="1436"/>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40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973"/>
            <w:tcMar>
              <w:top w:type="dxa" w:w="60"/>
              <w:left w:type="dxa" w:w="100"/>
              <w:bottom w:type="dxa" w:w="60"/>
              <w:right w:type="dxa" w:w="100"/>
            </w:tcMar>
          </w:tcPr>
          <w:p>
            <w:pPr>
              <w:spacing w:after="0" w:before="0"/>
            </w:pPr>
            <w:r>
              <w:rPr>
                <w:b w:val="false"/>
                <w:bCs w:val="false"/>
                <w:i w:val="false"/>
                <w:iCs w:val="false"/>
              </w:rPr>
              <w:t xml:space="preserve">Backup management</w:t>
            </w:r>
          </w:p>
        </w:tc>
        <w:tc>
          <w:tcPr>
            <w:tcW w:type="dxa" w:w="6208"/>
            <w:tcMar>
              <w:top w:type="dxa" w:w="60"/>
              <w:left w:type="dxa" w:w="100"/>
              <w:bottom w:type="dxa" w:w="60"/>
              <w:right w:type="dxa" w:w="100"/>
            </w:tcMar>
          </w:tcPr>
          <w:p>
            <w:pPr>
              <w:spacing w:after="0" w:before="0"/>
            </w:pPr>
            <w:r>
              <w:rPr>
                <w:b w:val="false"/>
                <w:bCs w:val="false"/>
                <w:i w:val="false"/>
                <w:iCs w:val="false"/>
              </w:rPr>
              <w:t xml:space="preserve">Backup scheduling, cataloging and restoration</w:t>
            </w:r>
          </w:p>
        </w:tc>
        <w:tc>
          <w:tcPr>
            <w:tcW w:type="dxa" w:w="1436"/>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403"/>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which the cluster keeps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59"/>
        <w:gridCol w:w="449"/>
        <w:gridCol w:w="7412"/>
      </w:tblGrid>
      <w:tr>
        <w:trPr>
          <w:tblHeader/>
        </w:trPr>
        <w:tc>
          <w:tcPr>
            <w:tcW w:type="dxa" w:w="1159"/>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449"/>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7412"/>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159"/>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449"/>
            <w:tcMar>
              <w:top w:type="dxa" w:w="60"/>
              <w:left w:type="dxa" w:w="100"/>
              <w:bottom w:type="dxa" w:w="60"/>
              <w:right w:type="dxa" w:w="100"/>
            </w:tcMar>
          </w:tcPr>
          <w:p>
            <w:pPr>
              <w:spacing w:after="0" w:before="0"/>
            </w:pPr>
            <w:r>
              <w:rPr>
                <w:b w:val="false"/>
                <w:bCs w:val="false"/>
                <w:i w:val="false"/>
                <w:iCs w:val="false"/>
              </w:rPr>
              <w:t xml:space="preserve">1</w:t>
            </w:r>
          </w:p>
        </w:tc>
        <w:tc>
          <w:tcPr>
            <w:tcW w:type="dxa" w:w="7412"/>
            <w:tcMar>
              <w:top w:type="dxa" w:w="60"/>
              <w:left w:type="dxa" w:w="100"/>
              <w:bottom w:type="dxa" w:w="60"/>
              <w:right w:type="dxa" w:w="100"/>
            </w:tcMar>
          </w:tcPr>
          <w:p>
            <w:pPr>
              <w:spacing w:after="0" w:before="0"/>
            </w:pPr>
            <w:r>
              <w:rPr>
                <w:b w:val="false"/>
                <w:bCs w:val="false"/>
                <w:i w:val="false"/>
                <w:iCs w:val="false"/>
              </w:rPr>
              <w:t xml:space="preserve">The secondary copy of the database, kept current by database replication; a domain controller, kept current by directory replication; and standby copies, one of each, of the integration gateway, application server, management, security monitoring and backup management virtual machines, kept current by virtual machine replication</w:t>
            </w:r>
          </w:p>
        </w:tc>
      </w:tr>
      <w:tr>
        <w:tc>
          <w:tcPr>
            <w:tcW w:type="dxa" w:w="1159"/>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449"/>
            <w:tcMar>
              <w:top w:type="dxa" w:w="60"/>
              <w:left w:type="dxa" w:w="100"/>
              <w:bottom w:type="dxa" w:w="60"/>
              <w:right w:type="dxa" w:w="100"/>
            </w:tcMar>
          </w:tcPr>
          <w:p>
            <w:pPr>
              <w:spacing w:after="0" w:before="0"/>
            </w:pPr>
            <w:r>
              <w:rPr>
                <w:b w:val="false"/>
                <w:bCs w:val="false"/>
                <w:i w:val="false"/>
                <w:iCs w:val="false"/>
              </w:rPr>
              <w:t xml:space="preserve">1</w:t>
            </w:r>
          </w:p>
        </w:tc>
        <w:tc>
          <w:tcPr>
            <w:tcW w:type="dxa" w:w="7412"/>
            <w:tcMar>
              <w:top w:type="dxa" w:w="60"/>
              <w:left w:type="dxa" w:w="100"/>
              <w:bottom w:type="dxa" w:w="60"/>
              <w:right w:type="dxa" w:w="100"/>
            </w:tcMar>
          </w:tcPr>
          <w:p>
            <w:pPr>
              <w:spacing w:after="0" w:before="0"/>
            </w:pPr>
            <w:r>
              <w:rPr>
                <w:b w:val="false"/>
                <w:bCs w:val="false"/>
                <w:i w:val="false"/>
                <w:iCs w:val="false"/>
              </w:rPr>
              <w:t xml:space="preserve">Holds the secondary copy of the database and the standby virtual machines, not less than 20 TB usable</w:t>
            </w:r>
          </w:p>
        </w:tc>
      </w:tr>
      <w:tr>
        <w:tc>
          <w:tcPr>
            <w:tcW w:type="dxa" w:w="1159"/>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449"/>
            <w:tcMar>
              <w:top w:type="dxa" w:w="60"/>
              <w:left w:type="dxa" w:w="100"/>
              <w:bottom w:type="dxa" w:w="60"/>
              <w:right w:type="dxa" w:w="100"/>
            </w:tcMar>
          </w:tcPr>
          <w:p>
            <w:pPr>
              <w:spacing w:after="0" w:before="0"/>
            </w:pPr>
            <w:r>
              <w:rPr>
                <w:b w:val="false"/>
                <w:bCs w:val="false"/>
                <w:i w:val="false"/>
                <w:iCs w:val="false"/>
              </w:rPr>
              <w:t xml:space="preserve">1</w:t>
            </w:r>
          </w:p>
        </w:tc>
        <w:tc>
          <w:tcPr>
            <w:tcW w:type="dxa" w:w="7412"/>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w:t>
            </w:r>
          </w:p>
        </w:tc>
      </w:tr>
      <w:tr>
        <w:tc>
          <w:tcPr>
            <w:tcW w:type="dxa" w:w="1159"/>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449"/>
            <w:tcMar>
              <w:top w:type="dxa" w:w="60"/>
              <w:left w:type="dxa" w:w="100"/>
              <w:bottom w:type="dxa" w:w="60"/>
              <w:right w:type="dxa" w:w="100"/>
            </w:tcMar>
          </w:tcPr>
          <w:p>
            <w:pPr>
              <w:spacing w:after="0" w:before="0"/>
            </w:pPr>
            <w:r>
              <w:rPr>
                <w:b w:val="false"/>
                <w:bCs w:val="false"/>
                <w:i w:val="false"/>
                <w:iCs w:val="false"/>
              </w:rPr>
              <w:t xml:space="preserve">1</w:t>
            </w:r>
          </w:p>
        </w:tc>
        <w:tc>
          <w:tcPr>
            <w:tcW w:type="dxa" w:w="7412"/>
            <w:tcMar>
              <w:top w:type="dxa" w:w="60"/>
              <w:left w:type="dxa" w:w="100"/>
              <w:bottom w:type="dxa" w:w="60"/>
              <w:right w:type="dxa" w:w="100"/>
            </w:tcMar>
          </w:tcPr>
          <w:p>
            <w:pPr>
              <w:spacing w:after="0" w:before="0"/>
            </w:pPr>
            <w:r>
              <w:rPr>
                <w:b w:val="false"/>
                <w:bCs w:val="false"/>
                <w:i w:val="false"/>
                <w:iCs w:val="false"/>
              </w:rPr>
              <w:t xml:space="preserve">Zone policy and intrusion prevention for the secondary environment</w:t>
            </w:r>
          </w:p>
        </w:tc>
      </w:tr>
      <w:tr>
        <w:tc>
          <w:tcPr>
            <w:tcW w:type="dxa" w:w="1159"/>
            <w:tcMar>
              <w:top w:type="dxa" w:w="60"/>
              <w:left w:type="dxa" w:w="100"/>
              <w:bottom w:type="dxa" w:w="60"/>
              <w:right w:type="dxa" w:w="100"/>
            </w:tcMar>
          </w:tcPr>
          <w:p>
            <w:pPr>
              <w:spacing w:after="0" w:before="0"/>
            </w:pPr>
            <w:r>
              <w:rPr>
                <w:b w:val="false"/>
                <w:bCs w:val="false"/>
                <w:i w:val="false"/>
                <w:iCs w:val="false"/>
              </w:rPr>
              <w:t xml:space="preserve">Switch</w:t>
            </w:r>
          </w:p>
        </w:tc>
        <w:tc>
          <w:tcPr>
            <w:tcW w:type="dxa" w:w="449"/>
            <w:tcMar>
              <w:top w:type="dxa" w:w="60"/>
              <w:left w:type="dxa" w:w="100"/>
              <w:bottom w:type="dxa" w:w="60"/>
              <w:right w:type="dxa" w:w="100"/>
            </w:tcMar>
          </w:tcPr>
          <w:p>
            <w:pPr>
              <w:spacing w:after="0" w:before="0"/>
            </w:pPr>
            <w:r>
              <w:rPr>
                <w:b w:val="false"/>
                <w:bCs w:val="false"/>
                <w:i w:val="false"/>
                <w:iCs w:val="false"/>
              </w:rPr>
              <w:t xml:space="preserve">1</w:t>
            </w:r>
          </w:p>
        </w:tc>
        <w:tc>
          <w:tcPr>
            <w:tcW w:type="dxa" w:w="7412"/>
            <w:tcMar>
              <w:top w:type="dxa" w:w="60"/>
              <w:left w:type="dxa" w:w="100"/>
              <w:bottom w:type="dxa" w:w="60"/>
              <w:right w:type="dxa" w:w="100"/>
            </w:tcMar>
          </w:tcPr>
          <w:p>
            <w:pPr>
              <w:spacing w:after="0" w:before="0"/>
            </w:pPr>
            <w:r>
              <w:rPr>
                <w:b w:val="false"/>
                <w:bCs w:val="false"/>
                <w:i w:val="false"/>
                <w:iCs w:val="false"/>
              </w:rPr>
              <w:t xml:space="preserve">The secondary environment's network</w:t>
            </w:r>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They sit on their own network segment behind the firewall pair, isolated from every production zone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the resulting raw capacity, are confirmed during detailed design against the approved data volumes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segregated zones.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2"/>
        <w:gridCol w:w="7238"/>
      </w:tblGrid>
      <w:tr>
        <w:trPr>
          <w:tblHeader/>
        </w:trPr>
        <w:tc>
          <w:tcPr>
            <w:tcW w:type="dxa" w:w="1782"/>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7238"/>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DMZ</w:t>
            </w:r>
          </w:p>
        </w:tc>
        <w:tc>
          <w:tcPr>
            <w:tcW w:type="dxa" w:w="7238"/>
            <w:tcMar>
              <w:top w:type="dxa" w:w="60"/>
              <w:left w:type="dxa" w:w="100"/>
              <w:bottom w:type="dxa" w:w="60"/>
              <w:right w:type="dxa" w:w="100"/>
            </w:tcMar>
          </w:tcPr>
          <w:p>
            <w:pPr>
              <w:spacing w:after="0" w:before="0"/>
            </w:pPr>
            <w:r>
              <w:rPr>
                <w:b w:val="false"/>
                <w:bCs w:val="false"/>
                <w:i w:val="false"/>
                <w:iCs w:val="false"/>
              </w:rPr>
              <w:t xml:space="preserve">Provisioned for externally exposed services. No service is deployed there at go-live</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Administration, monitoring, logging and backup infrastructure, and the security services: security information and event management, endpoint management and privileged access management</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Management and Monitoring Zone is the management and security zone, and the DMZ is reserved for externally exposed services.</w:t>
      </w:r>
    </w:p>
    <w:p>
      <w:pPr>
        <w:spacing w:after="140" w:line="276"/>
      </w:pPr>
      <w:r>
        <w:rPr>
          <w:b w:val="false"/>
          <w:bCs w:val="false"/>
          <w:i w:val="false"/>
          <w:iCs w:val="false"/>
        </w:rPr>
        <w:t xml:space="preserve">Each zone is a separate VLAN, and traffic between zones is routed only through the firewall pair, which applies the zone policy and intrusion prevention.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486400"/>
                    </a:xfrm>
                    <a:prstGeom prst="rect">
                      <a:avLst/>
                    </a:prstGeom>
                  </pic:spPr>
                </pic:pic>
              </a:graphicData>
            </a:graphic>
          </wp:inline>
        </w:drawing>
      </w:r>
    </w:p>
    <w:p>
      <w:pPr>
        <w:spacing w:after="200"/>
        <w:jc w:val="center"/>
      </w:pPr>
      <w:r>
        <w:rPr>
          <w:b w:val="false"/>
          <w:bCs w:val="false"/>
          <w:i/>
          <w:iCs/>
        </w:rPr>
        <w:t xml:space="preserve">Figure 9.1: Network zones. Every path between zones passes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two access switches of their own rather than to the core pair, each serving one personalization line and one mailing line, so the equipment is separated physically as well as logically, and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network is carried separately.</w:t>
      </w:r>
      <w:r>
        <w:rPr>
          <w:b w:val="false"/>
          <w:bCs w:val="false"/>
          <w:i w:val="false"/>
          <w:iCs w:val="false"/>
        </w:rPr>
        <w:t xml:space="preserve"> Traffic between the virtualization hosts and the storage array is placed on its own network segment rather than sharing the zone VLANs, so that storage traffic and application traffic do not compete, and so that the storage array is not reachable from the service zones.</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on their own segment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on a separate management segment, reached from the system administration workstations under a recorded break-glass procedure when the administrative access host is itself unavailable. The hardware security modules sit on a segment of the Application Zone that only the Signing Service can reach, so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their own segment behind the firewall pair, isolated from every production zone,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access switch, a host, a database node, a storage controller, a core switch, a firewall or a hardware security module reduces throughput, or pauses it for the failover window, rather than stopping production.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It holds a running replicated copy of the production database, standby copies of the service virtual machines kept current by replication and started on failover, and the offsite backup copies, so that recovery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11"/>
        <w:gridCol w:w="7209"/>
      </w:tblGrid>
      <w:tr>
        <w:trPr>
          <w:tblHeader/>
        </w:trPr>
        <w:tc>
          <w:tcPr>
            <w:tcW w:type="dxa" w:w="1811"/>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20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209"/>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209"/>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209"/>
            <w:tcMar>
              <w:top w:type="dxa" w:w="60"/>
              <w:left w:type="dxa" w:w="100"/>
              <w:bottom w:type="dxa" w:w="60"/>
              <w:right w:type="dxa" w:w="100"/>
            </w:tcMar>
          </w:tcPr>
          <w:p>
            <w:pPr>
              <w:spacing w:after="0" w:before="0"/>
            </w:pPr>
            <w:r>
              <w:rPr>
                <w:b w:val="false"/>
                <w:bCs w:val="false"/>
                <w:i w:val="false"/>
                <w:iCs w:val="false"/>
              </w:rPr>
              <w:t xml:space="preserve">Replication of the backups of databases, configuration, application systems and audit logs to the immutable backup storage at the secondary site</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209"/>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209"/>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430"/>
        <w:gridCol w:w="654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3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541"/>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2</w:t>
            </w:r>
          </w:p>
        </w:tc>
        <w:tc>
          <w:tcPr>
            <w:tcW w:type="dxa" w:w="6541"/>
            <w:tcMar>
              <w:top w:type="dxa" w:w="60"/>
              <w:left w:type="dxa" w:w="100"/>
              <w:bottom w:type="dxa" w:w="60"/>
              <w:right w:type="dxa" w:w="100"/>
            </w:tcMar>
          </w:tcPr>
          <w:p>
            <w:pPr>
              <w:spacing w:after="0" w:before="0"/>
            </w:pPr>
            <w:r>
              <w:rPr>
                <w:b w:val="false"/>
                <w:bCs w:val="false"/>
                <w:i w:val="false"/>
                <w:iCs w:val="false"/>
              </w:rPr>
              <w:t xml:space="preserve">Enterprise rack servers,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2</w:t>
            </w:r>
          </w:p>
        </w:tc>
        <w:tc>
          <w:tcPr>
            <w:tcW w:type="dxa" w:w="6541"/>
            <w:tcMar>
              <w:top w:type="dxa" w:w="60"/>
              <w:left w:type="dxa" w:w="100"/>
              <w:bottom w:type="dxa" w:w="60"/>
              <w:right w:type="dxa" w:w="100"/>
            </w:tcMar>
          </w:tcPr>
          <w:p>
            <w:pPr>
              <w:spacing w:after="0" w:before="0"/>
            </w:pPr>
            <w:r>
              <w:rPr>
                <w:b w:val="false"/>
                <w:bCs w:val="false"/>
                <w:i w:val="false"/>
                <w:iCs w:val="false"/>
              </w:rPr>
              <w:t xml:space="preserve">Enterprise rack servers, redundant power, redundant paths to both controllers of the storage array with multipath, clustered, one database node on each</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1</w:t>
            </w:r>
          </w:p>
        </w:tc>
        <w:tc>
          <w:tcPr>
            <w:tcW w:type="dxa" w:w="6541"/>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solid-state drives in a protected pool, RAID 6 or the manufacturer's equivalent, encryption at rest, not less than 20 TB usable</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1</w:t>
            </w:r>
          </w:p>
        </w:tc>
        <w:tc>
          <w:tcPr>
            <w:tcW w:type="dxa" w:w="6541"/>
            <w:tcMar>
              <w:top w:type="dxa" w:w="60"/>
              <w:left w:type="dxa" w:w="100"/>
              <w:bottom w:type="dxa" w:w="60"/>
              <w:right w:type="dxa" w:w="100"/>
            </w:tcMar>
          </w:tcPr>
          <w:p>
            <w:pPr>
              <w:spacing w:after="0" w:before="0"/>
            </w:pPr>
            <w:r>
              <w:rPr>
                <w:b w:val="false"/>
                <w:bCs w:val="false"/>
                <w:i w:val="false"/>
                <w:iCs w:val="false"/>
              </w:rPr>
              <w:t xml:space="preserve">Not less than 40 TB usable, with retention that no administrator can override</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1</w:t>
            </w:r>
          </w:p>
        </w:tc>
        <w:tc>
          <w:tcPr>
            <w:tcW w:type="dxa" w:w="6541"/>
            <w:tcMar>
              <w:top w:type="dxa" w:w="60"/>
              <w:left w:type="dxa" w:w="100"/>
              <w:bottom w:type="dxa" w:w="60"/>
              <w:right w:type="dxa" w:w="100"/>
            </w:tcMar>
          </w:tcPr>
          <w:p>
            <w:pPr>
              <w:spacing w:after="0" w:before="0"/>
            </w:pPr>
            <w:r>
              <w:rPr>
                <w:b w:val="false"/>
                <w:bCs w:val="false"/>
                <w:i w:val="false"/>
                <w:iCs w:val="false"/>
              </w:rPr>
              <w:t xml:space="preserve">Standby service virtual machines and the secondary copy of the database at the Purchaser's disaster recovery data center</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Storage array, secondary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1</w:t>
            </w:r>
          </w:p>
        </w:tc>
        <w:tc>
          <w:tcPr>
            <w:tcW w:type="dxa" w:w="6541"/>
            <w:tcMar>
              <w:top w:type="dxa" w:w="60"/>
              <w:left w:type="dxa" w:w="100"/>
              <w:bottom w:type="dxa" w:w="60"/>
              <w:right w:type="dxa" w:w="100"/>
            </w:tcMar>
          </w:tcPr>
          <w:p>
            <w:pPr>
              <w:spacing w:after="0" w:before="0"/>
            </w:pPr>
            <w:r>
              <w:rPr>
                <w:b w:val="false"/>
                <w:bCs w:val="false"/>
                <w:i w:val="false"/>
                <w:iCs w:val="false"/>
              </w:rPr>
              <w:t xml:space="preserve">Enterprise storage array, encryption at rest, not less than 20 TB usable</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1</w:t>
            </w:r>
          </w:p>
        </w:tc>
        <w:tc>
          <w:tcPr>
            <w:tcW w:type="dxa" w:w="6541"/>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430"/>
            <w:tcMar>
              <w:top w:type="dxa" w:w="60"/>
              <w:left w:type="dxa" w:w="100"/>
              <w:bottom w:type="dxa" w:w="60"/>
              <w:right w:type="dxa" w:w="100"/>
            </w:tcMar>
          </w:tcPr>
          <w:p>
            <w:pPr>
              <w:spacing w:after="0" w:before="0"/>
            </w:pPr>
            <w:r>
              <w:rPr>
                <w:b w:val="false"/>
                <w:bCs w:val="false"/>
                <w:i w:val="false"/>
                <w:iCs w:val="false"/>
              </w:rPr>
              <w:t xml:space="preserve">2</w:t>
            </w:r>
          </w:p>
        </w:tc>
        <w:tc>
          <w:tcPr>
            <w:tcW w:type="dxa" w:w="6541"/>
            <w:tcMar>
              <w:top w:type="dxa" w:w="60"/>
              <w:left w:type="dxa" w:w="100"/>
              <w:bottom w:type="dxa" w:w="60"/>
              <w:right w:type="dxa" w:w="100"/>
            </w:tcMar>
          </w:tcPr>
          <w:p>
            <w:pPr>
              <w:spacing w:after="0" w:before="0"/>
            </w:pPr>
            <w:r>
              <w:rPr>
                <w:b w:val="false"/>
                <w:bCs w:val="false"/>
                <w:i w:val="false"/>
                <w:iCs w:val="false"/>
              </w:rPr>
              <w:t xml:space="preserve">Redundant pair, zone VLANs and the storage network</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Access switches</w:t>
            </w:r>
          </w:p>
        </w:tc>
        <w:tc>
          <w:tcPr>
            <w:tcW w:type="dxa" w:w="430"/>
            <w:tcMar>
              <w:top w:type="dxa" w:w="60"/>
              <w:left w:type="dxa" w:w="100"/>
              <w:bottom w:type="dxa" w:w="60"/>
              <w:right w:type="dxa" w:w="100"/>
            </w:tcMar>
          </w:tcPr>
          <w:p>
            <w:pPr>
              <w:spacing w:after="0" w:before="0"/>
            </w:pPr>
            <w:r>
              <w:rPr>
                <w:b w:val="false"/>
                <w:bCs w:val="false"/>
                <w:i w:val="false"/>
                <w:iCs w:val="false"/>
              </w:rPr>
              <w:t xml:space="preserve">2</w:t>
            </w:r>
          </w:p>
        </w:tc>
        <w:tc>
          <w:tcPr>
            <w:tcW w:type="dxa" w:w="6541"/>
            <w:tcMar>
              <w:top w:type="dxa" w:w="60"/>
              <w:left w:type="dxa" w:w="100"/>
              <w:bottom w:type="dxa" w:w="60"/>
              <w:right w:type="dxa" w:w="100"/>
            </w:tcMar>
          </w:tcPr>
          <w:p>
            <w:pPr>
              <w:spacing w:after="0" w:before="0"/>
            </w:pPr>
            <w:r>
              <w:rPr>
                <w:b w:val="false"/>
                <w:bCs w:val="false"/>
                <w:i w:val="false"/>
                <w:iCs w:val="false"/>
              </w:rPr>
              <w:t xml:space="preserve">Machine Control Zone, each serving one personalization line and one mailing line</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2</w:t>
            </w:r>
          </w:p>
        </w:tc>
        <w:tc>
          <w:tcPr>
            <w:tcW w:type="dxa" w:w="6541"/>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1</w:t>
            </w:r>
          </w:p>
        </w:tc>
        <w:tc>
          <w:tcPr>
            <w:tcW w:type="dxa" w:w="6541"/>
            <w:tcMar>
              <w:top w:type="dxa" w:w="60"/>
              <w:left w:type="dxa" w:w="100"/>
              <w:bottom w:type="dxa" w:w="60"/>
              <w:right w:type="dxa" w:w="100"/>
            </w:tcMar>
          </w:tcPr>
          <w:p>
            <w:pPr>
              <w:spacing w:after="0" w:before="0"/>
            </w:pPr>
            <w:r>
              <w:rPr>
                <w:b w:val="false"/>
                <w:bCs w:val="false"/>
                <w:i w:val="false"/>
                <w:iCs w:val="false"/>
              </w:rPr>
              <w:t xml:space="preserve">Zone policy and intrusion prevention for the secondary environment</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Switch, secondary site</w:t>
            </w:r>
          </w:p>
        </w:tc>
        <w:tc>
          <w:tcPr>
            <w:tcW w:type="dxa" w:w="430"/>
            <w:tcMar>
              <w:top w:type="dxa" w:w="60"/>
              <w:left w:type="dxa" w:w="100"/>
              <w:bottom w:type="dxa" w:w="60"/>
              <w:right w:type="dxa" w:w="100"/>
            </w:tcMar>
          </w:tcPr>
          <w:p>
            <w:pPr>
              <w:spacing w:after="0" w:before="0"/>
            </w:pPr>
            <w:r>
              <w:rPr>
                <w:b w:val="false"/>
                <w:bCs w:val="false"/>
                <w:i w:val="false"/>
                <w:iCs w:val="false"/>
              </w:rPr>
              <w:t xml:space="preserve">1</w:t>
            </w:r>
          </w:p>
        </w:tc>
        <w:tc>
          <w:tcPr>
            <w:tcW w:type="dxa" w:w="6541"/>
            <w:tcMar>
              <w:top w:type="dxa" w:w="60"/>
              <w:left w:type="dxa" w:w="100"/>
              <w:bottom w:type="dxa" w:w="60"/>
              <w:right w:type="dxa" w:w="100"/>
            </w:tcMar>
          </w:tcPr>
          <w:p>
            <w:pPr>
              <w:spacing w:after="0" w:before="0"/>
            </w:pPr>
            <w:r>
              <w:rPr>
                <w:b w:val="false"/>
                <w:bCs w:val="false"/>
                <w:i w:val="false"/>
                <w:iCs w:val="false"/>
              </w:rPr>
              <w:t xml:space="preserve">The secondary environment's network</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430"/>
            <w:tcMar>
              <w:top w:type="dxa" w:w="60"/>
              <w:left w:type="dxa" w:w="100"/>
              <w:bottom w:type="dxa" w:w="60"/>
              <w:right w:type="dxa" w:w="100"/>
            </w:tcMar>
          </w:tcPr>
          <w:p>
            <w:pPr>
              <w:spacing w:after="0" w:before="0"/>
            </w:pPr>
            <w:r>
              <w:rPr>
                <w:b w:val="false"/>
                <w:bCs w:val="false"/>
                <w:i w:val="false"/>
                <w:iCs w:val="false"/>
              </w:rPr>
              <w:t xml:space="preserve">2</w:t>
            </w:r>
          </w:p>
        </w:tc>
        <w:tc>
          <w:tcPr>
            <w:tcW w:type="dxa" w:w="6541"/>
            <w:tcMar>
              <w:top w:type="dxa" w:w="60"/>
              <w:left w:type="dxa" w:w="100"/>
              <w:bottom w:type="dxa" w:w="60"/>
              <w:right w:type="dxa" w:w="100"/>
            </w:tcMar>
          </w:tcPr>
          <w:p>
            <w:pPr>
              <w:spacing w:after="0" w:before="0"/>
            </w:pPr>
            <w:r>
              <w:rPr>
                <w:b w:val="false"/>
                <w:bCs w:val="false"/>
                <w:i w:val="false"/>
                <w:iCs w:val="false"/>
              </w:rPr>
              <w:t xml:space="preserve">High availability pair, FIPS 140-2 or FIPS 140-3 validated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430"/>
            <w:tcMar>
              <w:top w:type="dxa" w:w="60"/>
              <w:left w:type="dxa" w:w="100"/>
              <w:bottom w:type="dxa" w:w="60"/>
              <w:right w:type="dxa" w:w="100"/>
            </w:tcMar>
          </w:tcPr>
          <w:p>
            <w:pPr>
              <w:spacing w:after="0" w:before="0"/>
            </w:pPr>
            <w:r>
              <w:rPr>
                <w:b w:val="false"/>
                <w:bCs w:val="false"/>
                <w:i w:val="false"/>
                <w:iCs w:val="false"/>
              </w:rPr>
              <w:t xml:space="preserve">10</w:t>
            </w:r>
          </w:p>
        </w:tc>
        <w:tc>
          <w:tcPr>
            <w:tcW w:type="dxa" w:w="6541"/>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2049"/>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43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541"/>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39"/>
        <w:gridCol w:w="5581"/>
      </w:tblGrid>
      <w:tr>
        <w:trPr>
          <w:tblHeader/>
        </w:trPr>
        <w:tc>
          <w:tcPr>
            <w:tcW w:type="dxa" w:w="3439"/>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58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581"/>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581"/>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581"/>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581"/>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581"/>
            <w:tcMar>
              <w:top w:type="dxa" w:w="60"/>
              <w:left w:type="dxa" w:w="100"/>
              <w:bottom w:type="dxa" w:w="60"/>
              <w:right w:type="dxa" w:w="100"/>
            </w:tcMar>
          </w:tcPr>
          <w:p>
            <w:pPr>
              <w:spacing w:after="0" w:before="0"/>
            </w:pPr>
            <w:r>
              <w:rPr>
                <w:b w:val="false"/>
                <w:bCs w:val="false"/>
                <w:i w:val="false"/>
                <w:iCs w:val="false"/>
              </w:rPr>
              <w:t xml:space="preserve">The immutable backup storage at each site</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581"/>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Backup and recovery platform</w:t>
            </w:r>
          </w:p>
        </w:tc>
        <w:tc>
          <w:tcPr>
            <w:tcW w:type="dxa" w:w="5581"/>
            <w:tcMar>
              <w:top w:type="dxa" w:w="60"/>
              <w:left w:type="dxa" w:w="100"/>
              <w:bottom w:type="dxa" w:w="60"/>
              <w:right w:type="dxa" w:w="100"/>
            </w:tcMar>
          </w:tcPr>
          <w:p>
            <w:pPr>
              <w:spacing w:after="0" w:before="0"/>
            </w:pPr>
            <w:r>
              <w:rPr>
                <w:b w:val="false"/>
                <w:bCs w:val="false"/>
                <w:i w:val="false"/>
                <w:iCs w:val="false"/>
              </w:rPr>
              <w:t xml:space="preserve">All protected systems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581"/>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581"/>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581"/>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581"/>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581"/>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581"/>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581"/>
            <w:tcMar>
              <w:top w:type="dxa" w:w="60"/>
              <w:left w:type="dxa" w:w="100"/>
              <w:bottom w:type="dxa" w:w="60"/>
              <w:right w:type="dxa" w:w="100"/>
            </w:tcMar>
          </w:tcPr>
          <w:p>
            <w:pPr>
              <w:spacing w:after="0" w:before="0"/>
            </w:pPr>
            <w:r>
              <w:rPr>
                <w:b w:val="false"/>
                <w:bCs w:val="false"/>
                <w:i w:val="false"/>
                <w:iCs w:val="false"/>
              </w:rPr>
              <w:t xml:space="preserve">Both storage arrays, all switches and all firewalls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581"/>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581"/>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581"/>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581"/>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6"/>
        <w:gridCol w:w="8554"/>
      </w:tblGrid>
      <w:tr>
        <w:trPr>
          <w:tblHeader/>
        </w:trPr>
        <w:tc>
          <w:tcPr>
            <w:tcW w:type="dxa" w:w="466"/>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855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466"/>
            <w:tcMar>
              <w:top w:type="dxa" w:w="60"/>
              <w:left w:type="dxa" w:w="100"/>
              <w:bottom w:type="dxa" w:w="60"/>
              <w:right w:type="dxa" w:w="100"/>
            </w:tcMar>
          </w:tcPr>
          <w:p>
            <w:pPr>
              <w:spacing w:after="0" w:before="0"/>
            </w:pPr>
            <w:r>
              <w:rPr>
                <w:b w:val="false"/>
                <w:bCs w:val="false"/>
                <w:i w:val="false"/>
                <w:iCs w:val="false"/>
              </w:rPr>
              <w:t xml:space="preserve">Power</w:t>
            </w:r>
          </w:p>
        </w:tc>
        <w:tc>
          <w:tcPr>
            <w:tcW w:type="dxa" w:w="8554"/>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466"/>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8554"/>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466"/>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8554"/>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466"/>
            <w:tcMar>
              <w:top w:type="dxa" w:w="60"/>
              <w:left w:type="dxa" w:w="100"/>
              <w:bottom w:type="dxa" w:w="60"/>
              <w:right w:type="dxa" w:w="100"/>
            </w:tcMar>
          </w:tcPr>
          <w:p>
            <w:pPr>
              <w:spacing w:after="0" w:before="0"/>
            </w:pPr>
            <w:r>
              <w:rPr>
                <w:b w:val="false"/>
                <w:bCs w:val="false"/>
                <w:i w:val="false"/>
                <w:iCs w:val="false"/>
              </w:rPr>
              <w:t xml:space="preserve">Fire</w:t>
            </w:r>
          </w:p>
        </w:tc>
        <w:tc>
          <w:tcPr>
            <w:tcW w:type="dxa" w:w="8554"/>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466"/>
            <w:tcMar>
              <w:top w:type="dxa" w:w="60"/>
              <w:left w:type="dxa" w:w="100"/>
              <w:bottom w:type="dxa" w:w="60"/>
              <w:right w:type="dxa" w:w="100"/>
            </w:tcMar>
          </w:tcPr>
          <w:p>
            <w:pPr>
              <w:spacing w:after="0" w:before="0"/>
            </w:pPr>
            <w:r>
              <w:rPr>
                <w:b w:val="false"/>
                <w:bCs w:val="false"/>
                <w:i w:val="false"/>
                <w:iCs w:val="false"/>
              </w:rPr>
              <w:t xml:space="preserve">Racks</w:t>
            </w:r>
          </w:p>
        </w:tc>
        <w:tc>
          <w:tcPr>
            <w:tcW w:type="dxa" w:w="8554"/>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466"/>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8554"/>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r>
        <w:br w:type="page"/>
      </w:r>
    </w:p>
    <w:p>
      <w:r>
        <w:br w:type="page"/>
      </w:r>
    </w:p>
    <w:p>
      <w:pPr>
        <w:pStyle w:val="Heading1"/>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78"/>
        <w:gridCol w:w="7942"/>
      </w:tblGrid>
      <w:tr>
        <w:trPr>
          <w:tblHeader/>
        </w:trPr>
        <w:tc>
          <w:tcPr>
            <w:tcW w:type="dxa" w:w="1078"/>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942"/>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078"/>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942"/>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078"/>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942"/>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078"/>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942"/>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078"/>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942"/>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078"/>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942"/>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80"/>
        <w:gridCol w:w="8140"/>
      </w:tblGrid>
      <w:tr>
        <w:trPr>
          <w:tblHeader/>
        </w:trPr>
        <w:tc>
          <w:tcPr>
            <w:tcW w:type="dxa" w:w="8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81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8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81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8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81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8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81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8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81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8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81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8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81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8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81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two domain controllers, one in the Management and Monitoring Zone of the primary site and one at the secondary site, each holding a full copy of the directory kept current by directory replication, so that identity and authentication depend on no NRB service. While the domain controller at the primary site is restarted or patched, the one at the secondary site serves authentication and name resolution.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9"/>
        <w:gridCol w:w="7281"/>
      </w:tblGrid>
      <w:tr>
        <w:trPr>
          <w:tblHeader/>
        </w:trPr>
        <w:tc>
          <w:tcPr>
            <w:tcW w:type="dxa" w:w="17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81"/>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39"/>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81"/>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739"/>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81"/>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739"/>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81"/>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739"/>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281"/>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739"/>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81"/>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739"/>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281"/>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739"/>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281"/>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739"/>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281"/>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at the Card Production Facility,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292"/>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292"/>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292"/>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292"/>
            <w:tcMar>
              <w:top w:type="dxa" w:w="60"/>
              <w:left w:type="dxa" w:w="100"/>
              <w:bottom w:type="dxa" w:w="60"/>
              <w:right w:type="dxa" w:w="100"/>
            </w:tcMar>
          </w:tcPr>
          <w:p>
            <w:pPr>
              <w:spacing w:after="0" w:before="0"/>
            </w:pPr>
            <w:r>
              <w:rPr>
                <w:b w:val="false"/>
                <w:bCs w:val="false"/>
                <w:i w:val="false"/>
                <w:iCs w:val="false"/>
              </w:rPr>
              <w:t xml:space="preserve">Two modules, supplied, installed and configured under this Contract as a high availability pair</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292"/>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292"/>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two modules rather than one.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two modules are configured as a high availability pair. The Document Signer key is replicated between them over the modules' own protected channel, so the key exists in both and can be extracted from neither. The Signing Service addresses the pair rather than an individual module, and the loss of one module reduces signing capacity without interrupting production.</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23"/>
        <w:gridCol w:w="8397"/>
      </w:tblGrid>
      <w:tr>
        <w:trPr>
          <w:tblHeader/>
        </w:trPr>
        <w:tc>
          <w:tcPr>
            <w:tcW w:type="dxa" w:w="623"/>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97"/>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23"/>
            <w:tcMar>
              <w:top w:type="dxa" w:w="60"/>
              <w:left w:type="dxa" w:w="100"/>
              <w:bottom w:type="dxa" w:w="60"/>
              <w:right w:type="dxa" w:w="100"/>
            </w:tcMar>
          </w:tcPr>
          <w:p>
            <w:pPr>
              <w:spacing w:after="0" w:before="0"/>
            </w:pPr>
            <w:r>
              <w:rPr>
                <w:b w:val="false"/>
                <w:bCs w:val="false"/>
                <w:i w:val="false"/>
                <w:iCs w:val="false"/>
              </w:rPr>
              <w:t xml:space="preserve">1</w:t>
            </w:r>
          </w:p>
        </w:tc>
        <w:tc>
          <w:tcPr>
            <w:tcW w:type="dxa" w:w="8397"/>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23"/>
            <w:tcMar>
              <w:top w:type="dxa" w:w="60"/>
              <w:left w:type="dxa" w:w="100"/>
              <w:bottom w:type="dxa" w:w="60"/>
              <w:right w:type="dxa" w:w="100"/>
            </w:tcMar>
          </w:tcPr>
          <w:p>
            <w:pPr>
              <w:spacing w:after="0" w:before="0"/>
            </w:pPr>
            <w:r>
              <w:rPr>
                <w:b w:val="false"/>
                <w:bCs w:val="false"/>
                <w:i w:val="false"/>
                <w:iCs w:val="false"/>
              </w:rPr>
              <w:t xml:space="preserve">2</w:t>
            </w:r>
          </w:p>
        </w:tc>
        <w:tc>
          <w:tcPr>
            <w:tcW w:type="dxa" w:w="8397"/>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pair</w:t>
            </w:r>
          </w:p>
        </w:tc>
      </w:tr>
      <w:tr>
        <w:tc>
          <w:tcPr>
            <w:tcW w:type="dxa" w:w="623"/>
            <w:tcMar>
              <w:top w:type="dxa" w:w="60"/>
              <w:left w:type="dxa" w:w="100"/>
              <w:bottom w:type="dxa" w:w="60"/>
              <w:right w:type="dxa" w:w="100"/>
            </w:tcMar>
          </w:tcPr>
          <w:p>
            <w:pPr>
              <w:spacing w:after="0" w:before="0"/>
            </w:pPr>
            <w:r>
              <w:rPr>
                <w:b w:val="false"/>
                <w:bCs w:val="false"/>
                <w:i w:val="false"/>
                <w:iCs w:val="false"/>
              </w:rPr>
              <w:t xml:space="preserve">3</w:t>
            </w:r>
          </w:p>
        </w:tc>
        <w:tc>
          <w:tcPr>
            <w:tcW w:type="dxa" w:w="8397"/>
            <w:tcMar>
              <w:top w:type="dxa" w:w="60"/>
              <w:left w:type="dxa" w:w="100"/>
              <w:bottom w:type="dxa" w:w="60"/>
              <w:right w:type="dxa" w:w="100"/>
            </w:tcMar>
          </w:tcPr>
          <w:p>
            <w:pPr>
              <w:spacing w:after="0" w:before="0"/>
            </w:pPr>
            <w:r>
              <w:rPr>
                <w:b w:val="false"/>
                <w:bCs w:val="false"/>
                <w:i w:val="false"/>
                <w:iCs w:val="false"/>
              </w:rPr>
              <w:t xml:space="preserve">A module signs with the Document Signer private key and returns the signature</w:t>
            </w:r>
          </w:p>
        </w:tc>
      </w:tr>
      <w:tr>
        <w:tc>
          <w:tcPr>
            <w:tcW w:type="dxa" w:w="623"/>
            <w:tcMar>
              <w:top w:type="dxa" w:w="60"/>
              <w:left w:type="dxa" w:w="100"/>
              <w:bottom w:type="dxa" w:w="60"/>
              <w:right w:type="dxa" w:w="100"/>
            </w:tcMar>
          </w:tcPr>
          <w:p>
            <w:pPr>
              <w:spacing w:after="0" w:before="0"/>
            </w:pPr>
            <w:r>
              <w:rPr>
                <w:b w:val="false"/>
                <w:bCs w:val="false"/>
                <w:i w:val="false"/>
                <w:iCs w:val="false"/>
              </w:rPr>
              <w:t xml:space="preserve">4</w:t>
            </w:r>
          </w:p>
        </w:tc>
        <w:tc>
          <w:tcPr>
            <w:tcW w:type="dxa" w:w="8397"/>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23"/>
            <w:tcMar>
              <w:top w:type="dxa" w:w="60"/>
              <w:left w:type="dxa" w:w="100"/>
              <w:bottom w:type="dxa" w:w="60"/>
              <w:right w:type="dxa" w:w="100"/>
            </w:tcMar>
          </w:tcPr>
          <w:p>
            <w:pPr>
              <w:spacing w:after="0" w:before="0"/>
            </w:pPr>
            <w:r>
              <w:rPr>
                <w:b w:val="false"/>
                <w:bCs w:val="false"/>
                <w:i w:val="false"/>
                <w:iCs w:val="false"/>
              </w:rPr>
              <w:t xml:space="preserve">5</w:t>
            </w:r>
          </w:p>
        </w:tc>
        <w:tc>
          <w:tcPr>
            <w:tcW w:type="dxa" w:w="8397"/>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429125"/>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modules and never leaves them;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14"/>
        <w:gridCol w:w="8106"/>
      </w:tblGrid>
      <w:tr>
        <w:trPr>
          <w:tblHeader/>
        </w:trPr>
        <w:tc>
          <w:tcPr>
            <w:tcW w:type="dxa" w:w="914"/>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8106"/>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914"/>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8106"/>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914"/>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8106"/>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914"/>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8106"/>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914"/>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8106"/>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914"/>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8106"/>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914"/>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8106"/>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55"/>
        <w:gridCol w:w="7165"/>
      </w:tblGrid>
      <w:tr>
        <w:trPr>
          <w:tblHeader/>
        </w:trPr>
        <w:tc>
          <w:tcPr>
            <w:tcW w:type="dxa" w:w="1855"/>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65"/>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55"/>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65"/>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55"/>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65"/>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55"/>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65"/>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26"/>
        <w:gridCol w:w="7594"/>
      </w:tblGrid>
      <w:tr>
        <w:trPr>
          <w:tblHeader/>
        </w:trPr>
        <w:tc>
          <w:tcPr>
            <w:tcW w:type="dxa" w:w="1426"/>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94"/>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26"/>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94"/>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26"/>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94"/>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26"/>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94"/>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26"/>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94"/>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26"/>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94"/>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61"/>
        <w:gridCol w:w="4615"/>
        <w:gridCol w:w="2744"/>
      </w:tblGrid>
      <w:tr>
        <w:trPr>
          <w:tblHeader/>
        </w:trPr>
        <w:tc>
          <w:tcPr>
            <w:tcW w:type="dxa" w:w="1661"/>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1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4"/>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61"/>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15"/>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4"/>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61"/>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15"/>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4"/>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61"/>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15"/>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4"/>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61"/>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15"/>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4"/>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61"/>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15"/>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4"/>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61"/>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15"/>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4"/>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61"/>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15"/>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4"/>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1"/>
        <w:gridCol w:w="4826"/>
        <w:gridCol w:w="2227"/>
        <w:gridCol w:w="1596"/>
      </w:tblGrid>
      <w:tr>
        <w:trPr>
          <w:tblHeader/>
        </w:trPr>
        <w:tc>
          <w:tcPr>
            <w:tcW w:type="dxa" w:w="371"/>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826"/>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227"/>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96"/>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371"/>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826"/>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227"/>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96"/>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371"/>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826"/>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227"/>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96"/>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371"/>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826"/>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227"/>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96"/>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371"/>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826"/>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227"/>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96"/>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
        <w:gridCol w:w="8713"/>
      </w:tblGrid>
      <w:tr>
        <w:trPr>
          <w:tblHeader/>
        </w:trPr>
        <w:tc>
          <w:tcPr>
            <w:tcW w:type="dxa" w:w="307"/>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8713"/>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307"/>
            <w:tcMar>
              <w:top w:type="dxa" w:w="60"/>
              <w:left w:type="dxa" w:w="100"/>
              <w:bottom w:type="dxa" w:w="60"/>
              <w:right w:type="dxa" w:w="100"/>
            </w:tcMar>
          </w:tcPr>
          <w:p>
            <w:pPr>
              <w:spacing w:after="0" w:before="0"/>
            </w:pPr>
            <w:r>
              <w:rPr>
                <w:b w:val="false"/>
                <w:bCs w:val="false"/>
                <w:i w:val="false"/>
                <w:iCs w:val="false"/>
              </w:rPr>
              <w:t xml:space="preserve">Govern</w:t>
            </w:r>
          </w:p>
        </w:tc>
        <w:tc>
          <w:tcPr>
            <w:tcW w:type="dxa" w:w="8713"/>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307"/>
            <w:tcMar>
              <w:top w:type="dxa" w:w="60"/>
              <w:left w:type="dxa" w:w="100"/>
              <w:bottom w:type="dxa" w:w="60"/>
              <w:right w:type="dxa" w:w="100"/>
            </w:tcMar>
          </w:tcPr>
          <w:p>
            <w:pPr>
              <w:spacing w:after="0" w:before="0"/>
            </w:pPr>
            <w:r>
              <w:rPr>
                <w:b w:val="false"/>
                <w:bCs w:val="false"/>
                <w:i w:val="false"/>
                <w:iCs w:val="false"/>
              </w:rPr>
              <w:t xml:space="preserve">Identify</w:t>
            </w:r>
          </w:p>
        </w:tc>
        <w:tc>
          <w:tcPr>
            <w:tcW w:type="dxa" w:w="8713"/>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307"/>
            <w:tcMar>
              <w:top w:type="dxa" w:w="60"/>
              <w:left w:type="dxa" w:w="100"/>
              <w:bottom w:type="dxa" w:w="60"/>
              <w:right w:type="dxa" w:w="100"/>
            </w:tcMar>
          </w:tcPr>
          <w:p>
            <w:pPr>
              <w:spacing w:after="0" w:before="0"/>
            </w:pPr>
            <w:r>
              <w:rPr>
                <w:b w:val="false"/>
                <w:bCs w:val="false"/>
                <w:i w:val="false"/>
                <w:iCs w:val="false"/>
              </w:rPr>
              <w:t xml:space="preserve">Protect</w:t>
            </w:r>
          </w:p>
        </w:tc>
        <w:tc>
          <w:tcPr>
            <w:tcW w:type="dxa" w:w="8713"/>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307"/>
            <w:tcMar>
              <w:top w:type="dxa" w:w="60"/>
              <w:left w:type="dxa" w:w="100"/>
              <w:bottom w:type="dxa" w:w="60"/>
              <w:right w:type="dxa" w:w="100"/>
            </w:tcMar>
          </w:tcPr>
          <w:p>
            <w:pPr>
              <w:spacing w:after="0" w:before="0"/>
            </w:pPr>
            <w:r>
              <w:rPr>
                <w:b w:val="false"/>
                <w:bCs w:val="false"/>
                <w:i w:val="false"/>
                <w:iCs w:val="false"/>
              </w:rPr>
              <w:t xml:space="preserve">Detect</w:t>
            </w:r>
          </w:p>
        </w:tc>
        <w:tc>
          <w:tcPr>
            <w:tcW w:type="dxa" w:w="8713"/>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307"/>
            <w:tcMar>
              <w:top w:type="dxa" w:w="60"/>
              <w:left w:type="dxa" w:w="100"/>
              <w:bottom w:type="dxa" w:w="60"/>
              <w:right w:type="dxa" w:w="100"/>
            </w:tcMar>
          </w:tcPr>
          <w:p>
            <w:pPr>
              <w:spacing w:after="0" w:before="0"/>
            </w:pPr>
            <w:r>
              <w:rPr>
                <w:b w:val="false"/>
                <w:bCs w:val="false"/>
                <w:i w:val="false"/>
                <w:iCs w:val="false"/>
              </w:rPr>
              <w:t xml:space="preserve">Respond</w:t>
            </w:r>
          </w:p>
        </w:tc>
        <w:tc>
          <w:tcPr>
            <w:tcW w:type="dxa" w:w="8713"/>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307"/>
            <w:tcMar>
              <w:top w:type="dxa" w:w="60"/>
              <w:left w:type="dxa" w:w="100"/>
              <w:bottom w:type="dxa" w:w="60"/>
              <w:right w:type="dxa" w:w="100"/>
            </w:tcMar>
          </w:tcPr>
          <w:p>
            <w:pPr>
              <w:spacing w:after="0" w:before="0"/>
            </w:pPr>
            <w:r>
              <w:rPr>
                <w:b w:val="false"/>
                <w:bCs w:val="false"/>
                <w:i w:val="false"/>
                <w:iCs w:val="false"/>
              </w:rPr>
              <w:t xml:space="preserve">Recover</w:t>
            </w:r>
          </w:p>
        </w:tc>
        <w:tc>
          <w:tcPr>
            <w:tcW w:type="dxa" w:w="8713"/>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r>
        <w:br w:type="page"/>
      </w:r>
    </w:p>
    <w:p>
      <w:r>
        <w:br w:type="page"/>
      </w:r>
    </w:p>
    <w:p>
      <w:pPr>
        <w:pStyle w:val="Heading1"/>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08"/>
        <w:gridCol w:w="8012"/>
      </w:tblGrid>
      <w:tr>
        <w:trPr>
          <w:tblHeader/>
        </w:trPr>
        <w:tc>
          <w:tcPr>
            <w:tcW w:type="dxa" w:w="1008"/>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8012"/>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008"/>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8012"/>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008"/>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8012"/>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008"/>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8012"/>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54"/>
        <w:gridCol w:w="7866"/>
      </w:tblGrid>
      <w:tr>
        <w:trPr>
          <w:tblHeader/>
        </w:trPr>
        <w:tc>
          <w:tcPr>
            <w:tcW w:type="dxa" w:w="1154"/>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866"/>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154"/>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866"/>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154"/>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866"/>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154"/>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866"/>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154"/>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866"/>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154"/>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866"/>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r>
        <w:br w:type="page"/>
      </w:r>
    </w:p>
    <w:p>
      <w:r>
        <w:br w:type="page"/>
      </w:r>
    </w:p>
    <w:p>
      <w:pPr>
        <w:pStyle w:val="Heading1"/>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61"/>
        <w:gridCol w:w="7859"/>
      </w:tblGrid>
      <w:tr>
        <w:trPr>
          <w:tblHeader/>
        </w:trPr>
        <w:tc>
          <w:tcPr>
            <w:tcW w:type="dxa" w:w="1161"/>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859"/>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161"/>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859"/>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161"/>
            <w:tcMar>
              <w:top w:type="dxa" w:w="60"/>
              <w:left w:type="dxa" w:w="100"/>
              <w:bottom w:type="dxa" w:w="60"/>
              <w:right w:type="dxa" w:w="100"/>
            </w:tcMar>
          </w:tcPr>
          <w:p>
            <w:pPr>
              <w:spacing w:after="0" w:before="0"/>
            </w:pPr>
            <w:r>
              <w:rPr>
                <w:b w:val="false"/>
                <w:bCs w:val="false"/>
                <w:i w:val="false"/>
                <w:iCs w:val="false"/>
              </w:rPr>
              <w:t xml:space="preserve">Mailing</w:t>
            </w:r>
          </w:p>
        </w:tc>
        <w:tc>
          <w:tcPr>
            <w:tcW w:type="dxa" w:w="7859"/>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161"/>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859"/>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161"/>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859"/>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161"/>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859"/>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81"/>
        <w:gridCol w:w="7039"/>
      </w:tblGrid>
      <w:tr>
        <w:trPr>
          <w:tblHeader/>
        </w:trPr>
        <w:tc>
          <w:tcPr>
            <w:tcW w:type="dxa" w:w="198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3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039"/>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039"/>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039"/>
            <w:tcMar>
              <w:top w:type="dxa" w:w="60"/>
              <w:left w:type="dxa" w:w="100"/>
              <w:bottom w:type="dxa" w:w="60"/>
              <w:right w:type="dxa" w:w="100"/>
            </w:tcMar>
          </w:tcPr>
          <w:p>
            <w:pPr>
              <w:spacing w:after="0" w:before="0"/>
            </w:pPr>
            <w:r>
              <w:rPr>
                <w:b w:val="false"/>
                <w:bCs w:val="false"/>
                <w:i w:val="false"/>
                <w:iCs w:val="false"/>
              </w:rPr>
              <w:t xml:space="preserve">All backup storage encrypted</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039"/>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039"/>
            <w:tcMar>
              <w:top w:type="dxa" w:w="60"/>
              <w:left w:type="dxa" w:w="100"/>
              <w:bottom w:type="dxa" w:w="60"/>
              <w:right w:type="dxa" w:w="100"/>
            </w:tcMar>
          </w:tcPr>
          <w:p>
            <w:pPr>
              <w:spacing w:after="0" w:before="0"/>
            </w:pPr>
            <w:r>
              <w:rPr>
                <w:b w:val="false"/>
                <w:bCs w:val="false"/>
                <w:i w:val="false"/>
                <w:iCs w:val="false"/>
              </w:rPr>
              <w:t xml:space="preserve">Replicated to the immutable backup storage of the secondary environment, at the Purchaser's disaster recovery data center</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039"/>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w:t>
            </w:r>
          </w:p>
        </w:tc>
      </w:tr>
    </w:tbl>
    <w:p>
      <w:pPr>
        <w:spacing w:after="140"/>
      </w:pPr>
    </w:p>
    <w:p>
      <w:pPr>
        <w:spacing w:after="140" w:line="276"/>
      </w:pPr>
      <w:r>
        <w:rPr>
          <w:b/>
          <w:bCs/>
          <w:i w:val="false"/>
          <w:iCs w:val="false"/>
        </w:rPr>
        <w:t xml:space="preserve">Backup management.</w:t>
      </w:r>
      <w:r>
        <w:rPr>
          <w:b w:val="false"/>
          <w:bCs w:val="false"/>
          <w:i w:val="false"/>
          <w:iCs w:val="false"/>
        </w:rPr>
        <w:t xml:space="preserve"> A centralized console governs scheduling and policy,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management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77"/>
        <w:gridCol w:w="5342"/>
        <w:gridCol w:w="768"/>
        <w:gridCol w:w="663"/>
        <w:gridCol w:w="1770"/>
      </w:tblGrid>
      <w:tr>
        <w:trPr>
          <w:tblHeader/>
        </w:trPr>
        <w:tc>
          <w:tcPr>
            <w:tcW w:type="dxa" w:w="477"/>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5342"/>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768"/>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663"/>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77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477"/>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5342"/>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768"/>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663"/>
            <w:tcMar>
              <w:top w:type="dxa" w:w="60"/>
              <w:left w:type="dxa" w:w="100"/>
              <w:bottom w:type="dxa" w:w="60"/>
              <w:right w:type="dxa" w:w="100"/>
            </w:tcMar>
          </w:tcPr>
          <w:p>
            <w:pPr>
              <w:spacing w:after="0" w:before="0"/>
            </w:pPr>
            <w:r>
              <w:rPr>
                <w:b w:val="false"/>
                <w:bCs w:val="false"/>
                <w:i w:val="false"/>
                <w:iCs w:val="false"/>
              </w:rPr>
              <w:t xml:space="preserve">2 hours</w:t>
            </w:r>
          </w:p>
        </w:tc>
        <w:tc>
          <w:tcPr>
            <w:tcW w:type="dxa" w:w="177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477"/>
            <w:tcMar>
              <w:top w:type="dxa" w:w="60"/>
              <w:left w:type="dxa" w:w="100"/>
              <w:bottom w:type="dxa" w:w="60"/>
              <w:right w:type="dxa" w:w="100"/>
            </w:tcMar>
          </w:tcPr>
          <w:p>
            <w:pPr>
              <w:spacing w:after="0" w:before="0"/>
            </w:pPr>
            <w:r>
              <w:rPr>
                <w:b w:val="false"/>
                <w:bCs w:val="false"/>
                <w:i w:val="false"/>
                <w:iCs w:val="false"/>
              </w:rPr>
              <w:t xml:space="preserve">2, High</w:t>
            </w:r>
          </w:p>
        </w:tc>
        <w:tc>
          <w:tcPr>
            <w:tcW w:type="dxa" w:w="5342"/>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768"/>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663"/>
            <w:tcMar>
              <w:top w:type="dxa" w:w="60"/>
              <w:left w:type="dxa" w:w="100"/>
              <w:bottom w:type="dxa" w:w="60"/>
              <w:right w:type="dxa" w:w="100"/>
            </w:tcMar>
          </w:tcPr>
          <w:p>
            <w:pPr>
              <w:spacing w:after="0" w:before="0"/>
            </w:pPr>
            <w:r>
              <w:rPr>
                <w:b w:val="false"/>
                <w:bCs w:val="false"/>
                <w:i w:val="false"/>
                <w:iCs w:val="false"/>
              </w:rPr>
              <w:t xml:space="preserve">4 hours</w:t>
            </w:r>
          </w:p>
        </w:tc>
        <w:tc>
          <w:tcPr>
            <w:tcW w:type="dxa" w:w="177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477"/>
            <w:tcMar>
              <w:top w:type="dxa" w:w="60"/>
              <w:left w:type="dxa" w:w="100"/>
              <w:bottom w:type="dxa" w:w="60"/>
              <w:right w:type="dxa" w:w="100"/>
            </w:tcMar>
          </w:tcPr>
          <w:p>
            <w:pPr>
              <w:spacing w:after="0" w:before="0"/>
            </w:pPr>
            <w:r>
              <w:rPr>
                <w:b w:val="false"/>
                <w:bCs w:val="false"/>
                <w:i w:val="false"/>
                <w:iCs w:val="false"/>
              </w:rPr>
              <w:t xml:space="preserve">3, Medium</w:t>
            </w:r>
          </w:p>
        </w:tc>
        <w:tc>
          <w:tcPr>
            <w:tcW w:type="dxa" w:w="5342"/>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768"/>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663"/>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77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477"/>
            <w:tcMar>
              <w:top w:type="dxa" w:w="60"/>
              <w:left w:type="dxa" w:w="100"/>
              <w:bottom w:type="dxa" w:w="60"/>
              <w:right w:type="dxa" w:w="100"/>
            </w:tcMar>
          </w:tcPr>
          <w:p>
            <w:pPr>
              <w:spacing w:after="0" w:before="0"/>
            </w:pPr>
            <w:r>
              <w:rPr>
                <w:b w:val="false"/>
                <w:bCs w:val="false"/>
                <w:i w:val="false"/>
                <w:iCs w:val="false"/>
              </w:rPr>
              <w:t xml:space="preserve">4, Low</w:t>
            </w:r>
          </w:p>
        </w:tc>
        <w:tc>
          <w:tcPr>
            <w:tcW w:type="dxa" w:w="5342"/>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768"/>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663"/>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77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87"/>
        <w:gridCol w:w="1991"/>
        <w:gridCol w:w="2192"/>
        <w:gridCol w:w="4250"/>
      </w:tblGrid>
      <w:tr>
        <w:trPr>
          <w:tblHeader/>
        </w:trPr>
        <w:tc>
          <w:tcPr>
            <w:tcW w:type="dxa" w:w="587"/>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91"/>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192"/>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587"/>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91"/>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192"/>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4250"/>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587"/>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91"/>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192"/>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4250"/>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587"/>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91"/>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192"/>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587"/>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91"/>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192"/>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4250"/>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r>
        <w:br w:type="page"/>
      </w:r>
    </w:p>
    <w:p>
      <w:r>
        <w:br w:type="page"/>
      </w:r>
    </w:p>
    <w:p>
      <w:pPr>
        <w:pStyle w:val="Heading1"/>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41"/>
        <w:gridCol w:w="8079"/>
      </w:tblGrid>
      <w:tr>
        <w:trPr>
          <w:tblHeader/>
        </w:trPr>
        <w:tc>
          <w:tcPr>
            <w:tcW w:type="dxa" w:w="94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8079"/>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941"/>
            <w:tcMar>
              <w:top w:type="dxa" w:w="60"/>
              <w:left w:type="dxa" w:w="100"/>
              <w:bottom w:type="dxa" w:w="60"/>
              <w:right w:type="dxa" w:w="100"/>
            </w:tcMar>
          </w:tcPr>
          <w:p>
            <w:pPr>
              <w:spacing w:after="0" w:before="0"/>
            </w:pPr>
            <w:r>
              <w:rPr>
                <w:b/>
                <w:bCs/>
                <w:i w:val="false"/>
                <w:iCs w:val="false"/>
              </w:rPr>
              <w:t xml:space="preserve">Public key infrastructure</w:t>
            </w:r>
          </w:p>
        </w:tc>
        <w:tc>
          <w:tcPr>
            <w:tcW w:type="dxa" w:w="8079"/>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941"/>
            <w:tcMar>
              <w:top w:type="dxa" w:w="60"/>
              <w:left w:type="dxa" w:w="100"/>
              <w:bottom w:type="dxa" w:w="60"/>
              <w:right w:type="dxa" w:w="100"/>
            </w:tcMar>
          </w:tcPr>
          <w:p>
            <w:pPr>
              <w:spacing w:after="0" w:before="0"/>
            </w:pPr>
            <w:r>
              <w:rPr>
                <w:b/>
                <w:bCs/>
                <w:i w:val="false"/>
                <w:iCs w:val="false"/>
              </w:rPr>
              <w:t xml:space="preserve">Document Signer certificate</w:t>
            </w:r>
          </w:p>
        </w:tc>
        <w:tc>
          <w:tcPr>
            <w:tcW w:type="dxa" w:w="8079"/>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941"/>
            <w:tcMar>
              <w:top w:type="dxa" w:w="60"/>
              <w:left w:type="dxa" w:w="100"/>
              <w:bottom w:type="dxa" w:w="60"/>
              <w:right w:type="dxa" w:w="100"/>
            </w:tcMar>
          </w:tcPr>
          <w:p>
            <w:pPr>
              <w:spacing w:after="0" w:before="0"/>
            </w:pPr>
            <w:r>
              <w:rPr>
                <w:b/>
                <w:bCs/>
                <w:i w:val="false"/>
                <w:iCs w:val="false"/>
              </w:rPr>
              <w:t xml:space="preserve">QR code specification</w:t>
            </w:r>
          </w:p>
        </w:tc>
        <w:tc>
          <w:tcPr>
            <w:tcW w:type="dxa" w:w="8079"/>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941"/>
            <w:tcMar>
              <w:top w:type="dxa" w:w="60"/>
              <w:left w:type="dxa" w:w="100"/>
              <w:bottom w:type="dxa" w:w="60"/>
              <w:right w:type="dxa" w:w="100"/>
            </w:tcMar>
          </w:tcPr>
          <w:p>
            <w:pPr>
              <w:spacing w:after="0" w:before="0"/>
            </w:pPr>
            <w:r>
              <w:rPr>
                <w:b/>
                <w:bCs/>
                <w:i w:val="false"/>
                <w:iCs w:val="false"/>
              </w:rPr>
              <w:t xml:space="preserve">Card design</w:t>
            </w:r>
          </w:p>
        </w:tc>
        <w:tc>
          <w:tcPr>
            <w:tcW w:type="dxa" w:w="8079"/>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941"/>
            <w:tcMar>
              <w:top w:type="dxa" w:w="60"/>
              <w:left w:type="dxa" w:w="100"/>
              <w:bottom w:type="dxa" w:w="60"/>
              <w:right w:type="dxa" w:w="100"/>
            </w:tcMar>
          </w:tcPr>
          <w:p>
            <w:pPr>
              <w:spacing w:after="0" w:before="0"/>
            </w:pPr>
            <w:r>
              <w:rPr>
                <w:b/>
                <w:bCs/>
                <w:i w:val="false"/>
                <w:iCs w:val="false"/>
              </w:rPr>
              <w:t xml:space="preserve">Eligibility determination</w:t>
            </w:r>
          </w:p>
        </w:tc>
        <w:tc>
          <w:tcPr>
            <w:tcW w:type="dxa" w:w="8079"/>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941"/>
            <w:tcMar>
              <w:top w:type="dxa" w:w="60"/>
              <w:left w:type="dxa" w:w="100"/>
              <w:bottom w:type="dxa" w:w="60"/>
              <w:right w:type="dxa" w:w="100"/>
            </w:tcMar>
          </w:tcPr>
          <w:p>
            <w:pPr>
              <w:spacing w:after="0" w:before="0"/>
            </w:pPr>
            <w:r>
              <w:rPr>
                <w:b/>
                <w:bCs/>
                <w:i w:val="false"/>
                <w:iCs w:val="false"/>
              </w:rPr>
              <w:t xml:space="preserve">NRIS interface development</w:t>
            </w:r>
          </w:p>
        </w:tc>
        <w:tc>
          <w:tcPr>
            <w:tcW w:type="dxa" w:w="8079"/>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941"/>
            <w:tcMar>
              <w:top w:type="dxa" w:w="60"/>
              <w:left w:type="dxa" w:w="100"/>
              <w:bottom w:type="dxa" w:w="60"/>
              <w:right w:type="dxa" w:w="100"/>
            </w:tcMar>
          </w:tcPr>
          <w:p>
            <w:pPr>
              <w:spacing w:after="0" w:before="0"/>
            </w:pPr>
            <w:r>
              <w:rPr>
                <w:b/>
                <w:bCs/>
                <w:i w:val="false"/>
                <w:iCs w:val="false"/>
              </w:rPr>
              <w:t xml:space="preserve">NRIS documentation</w:t>
            </w:r>
          </w:p>
        </w:tc>
        <w:tc>
          <w:tcPr>
            <w:tcW w:type="dxa" w:w="8079"/>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941"/>
            <w:tcMar>
              <w:top w:type="dxa" w:w="60"/>
              <w:left w:type="dxa" w:w="100"/>
              <w:bottom w:type="dxa" w:w="60"/>
              <w:right w:type="dxa" w:w="100"/>
            </w:tcMar>
          </w:tcPr>
          <w:p>
            <w:pPr>
              <w:spacing w:after="0" w:before="0"/>
            </w:pPr>
            <w:r>
              <w:rPr>
                <w:b/>
                <w:bCs/>
                <w:i w:val="false"/>
                <w:iCs w:val="false"/>
              </w:rPr>
              <w:t xml:space="preserve">NRIS test environment</w:t>
            </w:r>
          </w:p>
        </w:tc>
        <w:tc>
          <w:tcPr>
            <w:tcW w:type="dxa" w:w="8079"/>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941"/>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8079"/>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941"/>
            <w:tcMar>
              <w:top w:type="dxa" w:w="60"/>
              <w:left w:type="dxa" w:w="100"/>
              <w:bottom w:type="dxa" w:w="60"/>
              <w:right w:type="dxa" w:w="100"/>
            </w:tcMar>
          </w:tcPr>
          <w:p>
            <w:pPr>
              <w:spacing w:after="0" w:before="0"/>
            </w:pPr>
            <w:r>
              <w:rPr>
                <w:b/>
                <w:bCs/>
                <w:i w:val="false"/>
                <w:iCs w:val="false"/>
              </w:rPr>
              <w:t xml:space="preserve">Electrical connection</w:t>
            </w:r>
          </w:p>
        </w:tc>
        <w:tc>
          <w:tcPr>
            <w:tcW w:type="dxa" w:w="8079"/>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941"/>
            <w:tcMar>
              <w:top w:type="dxa" w:w="60"/>
              <w:left w:type="dxa" w:w="100"/>
              <w:bottom w:type="dxa" w:w="60"/>
              <w:right w:type="dxa" w:w="100"/>
            </w:tcMar>
          </w:tcPr>
          <w:p>
            <w:pPr>
              <w:spacing w:after="0" w:before="0"/>
            </w:pPr>
            <w:r>
              <w:rPr>
                <w:b/>
                <w:bCs/>
                <w:i w:val="false"/>
                <w:iCs w:val="false"/>
              </w:rPr>
              <w:t xml:space="preserve">Statutory approvals</w:t>
            </w:r>
          </w:p>
        </w:tc>
        <w:tc>
          <w:tcPr>
            <w:tcW w:type="dxa" w:w="8079"/>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941"/>
            <w:tcMar>
              <w:top w:type="dxa" w:w="60"/>
              <w:left w:type="dxa" w:w="100"/>
              <w:bottom w:type="dxa" w:w="60"/>
              <w:right w:type="dxa" w:w="100"/>
            </w:tcMar>
          </w:tcPr>
          <w:p>
            <w:pPr>
              <w:spacing w:after="0" w:before="0"/>
            </w:pPr>
            <w:r>
              <w:rPr>
                <w:b/>
                <w:bCs/>
                <w:i w:val="false"/>
                <w:iCs w:val="false"/>
              </w:rPr>
              <w:t xml:space="preserve">Site information</w:t>
            </w:r>
          </w:p>
        </w:tc>
        <w:tc>
          <w:tcPr>
            <w:tcW w:type="dxa" w:w="8079"/>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941"/>
            <w:tcMar>
              <w:top w:type="dxa" w:w="60"/>
              <w:left w:type="dxa" w:w="100"/>
              <w:bottom w:type="dxa" w:w="60"/>
              <w:right w:type="dxa" w:w="100"/>
            </w:tcMar>
          </w:tcPr>
          <w:p>
            <w:pPr>
              <w:spacing w:after="0" w:before="0"/>
            </w:pPr>
            <w:r>
              <w:rPr>
                <w:b/>
                <w:bCs/>
                <w:i w:val="false"/>
                <w:iCs w:val="false"/>
              </w:rPr>
              <w:t xml:space="preserve">Disaster recovery facility</w:t>
            </w:r>
          </w:p>
        </w:tc>
        <w:tc>
          <w:tcPr>
            <w:tcW w:type="dxa" w:w="8079"/>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941"/>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8079"/>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941"/>
            <w:tcMar>
              <w:top w:type="dxa" w:w="60"/>
              <w:left w:type="dxa" w:w="100"/>
              <w:bottom w:type="dxa" w:w="60"/>
              <w:right w:type="dxa" w:w="100"/>
            </w:tcMar>
          </w:tcPr>
          <w:p>
            <w:pPr>
              <w:spacing w:after="0" w:before="0"/>
            </w:pPr>
            <w:r>
              <w:rPr>
                <w:b/>
                <w:bCs/>
                <w:i w:val="false"/>
                <w:iCs w:val="false"/>
              </w:rPr>
              <w:t xml:space="preserve">Remote access</w:t>
            </w:r>
          </w:p>
        </w:tc>
        <w:tc>
          <w:tcPr>
            <w:tcW w:type="dxa" w:w="8079"/>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941"/>
            <w:tcMar>
              <w:top w:type="dxa" w:w="60"/>
              <w:left w:type="dxa" w:w="100"/>
              <w:bottom w:type="dxa" w:w="60"/>
              <w:right w:type="dxa" w:w="100"/>
            </w:tcMar>
          </w:tcPr>
          <w:p>
            <w:pPr>
              <w:spacing w:after="0" w:before="0"/>
            </w:pPr>
            <w:r>
              <w:rPr>
                <w:b/>
                <w:bCs/>
                <w:i w:val="false"/>
                <w:iCs w:val="false"/>
              </w:rPr>
              <w:t xml:space="preserve">Cards per carrier letter</w:t>
            </w:r>
          </w:p>
        </w:tc>
        <w:tc>
          <w:tcPr>
            <w:tcW w:type="dxa" w:w="8079"/>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36"/>
        <w:gridCol w:w="8084"/>
      </w:tblGrid>
      <w:tr>
        <w:trPr>
          <w:tblHeader/>
        </w:trPr>
        <w:tc>
          <w:tcPr>
            <w:tcW w:type="dxa" w:w="936"/>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8084"/>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936"/>
            <w:tcMar>
              <w:top w:type="dxa" w:w="60"/>
              <w:left w:type="dxa" w:w="100"/>
              <w:bottom w:type="dxa" w:w="60"/>
              <w:right w:type="dxa" w:w="100"/>
            </w:tcMar>
          </w:tcPr>
          <w:p>
            <w:pPr>
              <w:spacing w:after="0" w:before="0"/>
            </w:pPr>
            <w:r>
              <w:rPr>
                <w:b/>
                <w:bCs/>
                <w:i w:val="false"/>
                <w:iCs w:val="false"/>
              </w:rPr>
              <w:t xml:space="preserve">NRIS</w:t>
            </w:r>
          </w:p>
        </w:tc>
        <w:tc>
          <w:tcPr>
            <w:tcW w:type="dxa" w:w="8084"/>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936"/>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8084"/>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936"/>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8084"/>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936"/>
            <w:tcMar>
              <w:top w:type="dxa" w:w="60"/>
              <w:left w:type="dxa" w:w="100"/>
              <w:bottom w:type="dxa" w:w="60"/>
              <w:right w:type="dxa" w:w="100"/>
            </w:tcMar>
          </w:tcPr>
          <w:p>
            <w:pPr>
              <w:spacing w:after="0" w:before="0"/>
            </w:pPr>
            <w:r>
              <w:rPr>
                <w:b/>
                <w:bCs/>
                <w:i w:val="false"/>
                <w:iCs w:val="false"/>
              </w:rPr>
              <w:t xml:space="preserve">Courier and postal services</w:t>
            </w:r>
          </w:p>
        </w:tc>
        <w:tc>
          <w:tcPr>
            <w:tcW w:type="dxa" w:w="8084"/>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936"/>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8084"/>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936"/>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8084"/>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936"/>
            <w:tcMar>
              <w:top w:type="dxa" w:w="60"/>
              <w:left w:type="dxa" w:w="100"/>
              <w:bottom w:type="dxa" w:w="60"/>
              <w:right w:type="dxa" w:w="100"/>
            </w:tcMar>
          </w:tcPr>
          <w:p>
            <w:pPr>
              <w:spacing w:after="0" w:before="0"/>
            </w:pPr>
            <w:r>
              <w:rPr>
                <w:b/>
                <w:bCs/>
                <w:i w:val="false"/>
                <w:iCs w:val="false"/>
              </w:rPr>
              <w:t xml:space="preserve">NRB mail service</w:t>
            </w:r>
          </w:p>
        </w:tc>
        <w:tc>
          <w:tcPr>
            <w:tcW w:type="dxa" w:w="8084"/>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936"/>
            <w:tcMar>
              <w:top w:type="dxa" w:w="60"/>
              <w:left w:type="dxa" w:w="100"/>
              <w:bottom w:type="dxa" w:w="60"/>
              <w:right w:type="dxa" w:w="100"/>
            </w:tcMar>
          </w:tcPr>
          <w:p>
            <w:pPr>
              <w:spacing w:after="0" w:before="0"/>
            </w:pPr>
            <w:r>
              <w:rPr>
                <w:b/>
                <w:bCs/>
                <w:i w:val="false"/>
                <w:iCs w:val="false"/>
              </w:rPr>
              <w:t xml:space="preserve">SMS service provider</w:t>
            </w:r>
          </w:p>
        </w:tc>
        <w:tc>
          <w:tcPr>
            <w:tcW w:type="dxa" w:w="8084"/>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936"/>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8084"/>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r>
        <w:br w:type="page"/>
      </w:r>
    </w:p>
    <w:p>
      <w:r>
        <w:br w:type="page"/>
      </w:r>
    </w:p>
    <w:p>
      <w:pPr>
        <w:pStyle w:val="Heading1"/>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5"/>
        <w:gridCol w:w="7485"/>
      </w:tblGrid>
      <w:tr>
        <w:trPr>
          <w:tblHeader/>
        </w:trPr>
        <w:tc>
          <w:tcPr>
            <w:tcW w:type="dxa" w:w="1535"/>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85"/>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ACID</w:t>
            </w:r>
          </w:p>
        </w:tc>
        <w:tc>
          <w:tcPr>
            <w:tcW w:type="dxa" w:w="7485"/>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AES</w:t>
            </w:r>
          </w:p>
        </w:tc>
        <w:tc>
          <w:tcPr>
            <w:tcW w:type="dxa" w:w="7485"/>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API</w:t>
            </w:r>
          </w:p>
        </w:tc>
        <w:tc>
          <w:tcPr>
            <w:tcW w:type="dxa" w:w="7485"/>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CIS</w:t>
            </w:r>
          </w:p>
        </w:tc>
        <w:tc>
          <w:tcPr>
            <w:tcW w:type="dxa" w:w="7485"/>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CLI</w:t>
            </w:r>
          </w:p>
        </w:tc>
        <w:tc>
          <w:tcPr>
            <w:tcW w:type="dxa" w:w="7485"/>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DMZ</w:t>
            </w:r>
          </w:p>
        </w:tc>
        <w:tc>
          <w:tcPr>
            <w:tcW w:type="dxa" w:w="7485"/>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dpi</w:t>
            </w:r>
          </w:p>
        </w:tc>
        <w:tc>
          <w:tcPr>
            <w:tcW w:type="dxa" w:w="7485"/>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eIDAS</w:t>
            </w:r>
          </w:p>
        </w:tc>
        <w:tc>
          <w:tcPr>
            <w:tcW w:type="dxa" w:w="7485"/>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EN</w:t>
            </w:r>
          </w:p>
        </w:tc>
        <w:tc>
          <w:tcPr>
            <w:tcW w:type="dxa" w:w="7485"/>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FCC</w:t>
            </w:r>
          </w:p>
        </w:tc>
        <w:tc>
          <w:tcPr>
            <w:tcW w:type="dxa" w:w="7485"/>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FIPS</w:t>
            </w:r>
          </w:p>
        </w:tc>
        <w:tc>
          <w:tcPr>
            <w:tcW w:type="dxa" w:w="7485"/>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gsm</w:t>
            </w:r>
          </w:p>
        </w:tc>
        <w:tc>
          <w:tcPr>
            <w:tcW w:type="dxa" w:w="7485"/>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HSM</w:t>
            </w:r>
          </w:p>
        </w:tc>
        <w:tc>
          <w:tcPr>
            <w:tcW w:type="dxa" w:w="7485"/>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ICT</w:t>
            </w:r>
          </w:p>
        </w:tc>
        <w:tc>
          <w:tcPr>
            <w:tcW w:type="dxa" w:w="7485"/>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IEC</w:t>
            </w:r>
          </w:p>
        </w:tc>
        <w:tc>
          <w:tcPr>
            <w:tcW w:type="dxa" w:w="7485"/>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ISO</w:t>
            </w:r>
          </w:p>
        </w:tc>
        <w:tc>
          <w:tcPr>
            <w:tcW w:type="dxa" w:w="7485"/>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ITP</w:t>
            </w:r>
          </w:p>
        </w:tc>
        <w:tc>
          <w:tcPr>
            <w:tcW w:type="dxa" w:w="7485"/>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MRZ</w:t>
            </w:r>
          </w:p>
        </w:tc>
        <w:tc>
          <w:tcPr>
            <w:tcW w:type="dxa" w:w="7485"/>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NIST</w:t>
            </w:r>
          </w:p>
        </w:tc>
        <w:tc>
          <w:tcPr>
            <w:tcW w:type="dxa" w:w="7485"/>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NRB</w:t>
            </w:r>
          </w:p>
        </w:tc>
        <w:tc>
          <w:tcPr>
            <w:tcW w:type="dxa" w:w="7485"/>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NRIS</w:t>
            </w:r>
          </w:p>
        </w:tc>
        <w:tc>
          <w:tcPr>
            <w:tcW w:type="dxa" w:w="7485"/>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OVMI</w:t>
            </w:r>
          </w:p>
        </w:tc>
        <w:tc>
          <w:tcPr>
            <w:tcW w:type="dxa" w:w="7485"/>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OWASP</w:t>
            </w:r>
          </w:p>
        </w:tc>
        <w:tc>
          <w:tcPr>
            <w:tcW w:type="dxa" w:w="7485"/>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PKI</w:t>
            </w:r>
          </w:p>
        </w:tc>
        <w:tc>
          <w:tcPr>
            <w:tcW w:type="dxa" w:w="7485"/>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QR</w:t>
            </w:r>
          </w:p>
        </w:tc>
        <w:tc>
          <w:tcPr>
            <w:tcW w:type="dxa" w:w="7485"/>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RAID</w:t>
            </w:r>
          </w:p>
        </w:tc>
        <w:tc>
          <w:tcPr>
            <w:tcW w:type="dxa" w:w="7485"/>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REST</w:t>
            </w:r>
          </w:p>
        </w:tc>
        <w:tc>
          <w:tcPr>
            <w:tcW w:type="dxa" w:w="7485"/>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SLA</w:t>
            </w:r>
          </w:p>
        </w:tc>
        <w:tc>
          <w:tcPr>
            <w:tcW w:type="dxa" w:w="7485"/>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SMS</w:t>
            </w:r>
          </w:p>
        </w:tc>
        <w:tc>
          <w:tcPr>
            <w:tcW w:type="dxa" w:w="7485"/>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SOAP</w:t>
            </w:r>
          </w:p>
        </w:tc>
        <w:tc>
          <w:tcPr>
            <w:tcW w:type="dxa" w:w="7485"/>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TLS</w:t>
            </w:r>
          </w:p>
        </w:tc>
        <w:tc>
          <w:tcPr>
            <w:tcW w:type="dxa" w:w="7485"/>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UV</w:t>
            </w:r>
          </w:p>
        </w:tc>
        <w:tc>
          <w:tcPr>
            <w:tcW w:type="dxa" w:w="7485"/>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VLAN</w:t>
            </w:r>
          </w:p>
        </w:tc>
        <w:tc>
          <w:tcPr>
            <w:tcW w:type="dxa" w:w="7485"/>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35"/>
            <w:tcMar>
              <w:top w:type="dxa" w:w="60"/>
              <w:left w:type="dxa" w:w="100"/>
              <w:bottom w:type="dxa" w:w="60"/>
              <w:right w:type="dxa" w:w="100"/>
            </w:tcMar>
          </w:tcPr>
          <w:p>
            <w:pPr>
              <w:spacing w:after="0" w:before="0"/>
            </w:pPr>
            <w:r>
              <w:rPr>
                <w:b w:val="false"/>
                <w:bCs w:val="false"/>
                <w:i w:val="false"/>
                <w:iCs w:val="false"/>
              </w:rPr>
              <w:t xml:space="preserve">XML</w:t>
            </w:r>
          </w:p>
        </w:tc>
        <w:tc>
          <w:tcPr>
            <w:tcW w:type="dxa" w:w="7485"/>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cbb0b22776c8be8205a44f96d0e1055f4c3e9910.png"/><Relationship Id="rId18" Type="http://schemas.openxmlformats.org/officeDocument/2006/relationships/image" Target="media/053651630cbbafe1136042c6dfbbc0d3232dcad9.png"/><Relationship Id="rId19" Type="http://schemas.openxmlformats.org/officeDocument/2006/relationships/image" Target="media/e73ae738139e2b3b714be05ae7818f97cff598d5.png"/><Relationship Id="rId20" Type="http://schemas.openxmlformats.org/officeDocument/2006/relationships/image" Target="media/17291af9a21bccfd618a76ab887555a5a6496fd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2026-10-06T14:27:21.654Z</dcterms:created>
  <dcterms:modified xsi:type="dcterms:W3CDTF">2026-10-06T14:27:21.658Z</dcterms:modified>
</cp:coreProperties>
</file>

<file path=docProps/custom.xml><?xml version="1.0" encoding="utf-8"?>
<Properties xmlns="http://schemas.openxmlformats.org/officeDocument/2006/custom-properties" xmlns:vt="http://schemas.openxmlformats.org/officeDocument/2006/docPropsVTypes"/>
</file>