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Purpose and scope</w:t>
              <w:tab/>
              <w:t xml:space="default">3</w:t>
            </w:r>
          </w:hyperlink>
        </w:p>
        <w:p>
          <w:pPr>
            <w:pStyle w:val="TOC2"/>
            <w:tabs>
              <w:tab w:val="clear" w:pos="8786"/>
              <w:tab w:val="right" w:pos="9025" w:leader="dot"/>
            </w:tabs>
          </w:pPr>
          <w:hyperlink w:history="1" w:anchor="sec_1_2">
            <w:r>
              <w:rPr>
                <w:rStyle w:val="IndexLink"/>
              </w:rPr>
              <w:t xml:space="default">1.2 Frameworks and method</w:t>
              <w:tab/>
              <w:t xml:space="default">3</w:t>
            </w:r>
          </w:hyperlink>
        </w:p>
        <w:p>
          <w:pPr>
            <w:pStyle w:val="TOC1"/>
            <w:tabs>
              <w:tab w:val="clear" w:pos="9026"/>
              <w:tab w:val="right" w:pos="9025" w:leader="dot"/>
            </w:tabs>
          </w:pPr>
          <w:hyperlink w:history="1" w:anchor="sec_2">
            <w:r>
              <w:rPr>
                <w:rStyle w:val="IndexLink"/>
              </w:rPr>
              <w:t xml:space="default">2. Governance</w:t>
              <w:tab/>
              <w:t xml:space="default">5</w:t>
            </w:r>
          </w:hyperlink>
        </w:p>
        <w:p>
          <w:pPr>
            <w:pStyle w:val="TOC2"/>
            <w:tabs>
              <w:tab w:val="clear" w:pos="8786"/>
              <w:tab w:val="right" w:pos="9025" w:leader="dot"/>
            </w:tabs>
          </w:pPr>
          <w:hyperlink w:history="1" w:anchor="sec_2_1">
            <w:r>
              <w:rPr>
                <w:rStyle w:val="IndexLink"/>
              </w:rPr>
              <w:t xml:space="default">2.1 Governance and decision rights</w:t>
              <w:tab/>
              <w:t xml:space="default">5</w:t>
            </w:r>
          </w:hyperlink>
        </w:p>
        <w:p>
          <w:pPr>
            <w:pStyle w:val="TOC2"/>
            <w:tabs>
              <w:tab w:val="clear" w:pos="8786"/>
              <w:tab w:val="right" w:pos="9025" w:leader="dot"/>
            </w:tabs>
          </w:pPr>
          <w:hyperlink w:history="1" w:anchor="sec_2_2">
            <w:r>
              <w:rPr>
                <w:rStyle w:val="IndexLink"/>
              </w:rPr>
              <w:t xml:space="default">2.2 Security policies</w:t>
              <w:tab/>
              <w:t xml:space="default">5</w:t>
            </w:r>
          </w:hyperlink>
        </w:p>
        <w:p>
          <w:pPr>
            <w:pStyle w:val="TOC1"/>
            <w:tabs>
              <w:tab w:val="clear" w:pos="9026"/>
              <w:tab w:val="right" w:pos="9025" w:leader="dot"/>
            </w:tabs>
          </w:pPr>
          <w:hyperlink w:history="1" w:anchor="sec_3">
            <w:r>
              <w:rPr>
                <w:rStyle w:val="IndexLink"/>
              </w:rPr>
              <w:t xml:space="default">3. Architecture and Framework Compliance</w:t>
              <w:tab/>
              <w:t xml:space="default">7</w:t>
            </w:r>
          </w:hyperlink>
        </w:p>
        <w:p>
          <w:pPr>
            <w:pStyle w:val="TOC2"/>
            <w:tabs>
              <w:tab w:val="clear" w:pos="8786"/>
              <w:tab w:val="right" w:pos="9025" w:leader="dot"/>
            </w:tabs>
          </w:pPr>
          <w:hyperlink w:history="1" w:anchor="sec_3_1">
            <w:r>
              <w:rPr>
                <w:rStyle w:val="IndexLink"/>
              </w:rPr>
              <w:t xml:space="default">3.1 Cybersecurity architecture</w:t>
              <w:tab/>
              <w:t xml:space="default">7</w:t>
            </w:r>
          </w:hyperlink>
        </w:p>
        <w:p>
          <w:pPr>
            <w:pStyle w:val="TOC2"/>
            <w:tabs>
              <w:tab w:val="clear" w:pos="8786"/>
              <w:tab w:val="right" w:pos="9025" w:leader="dot"/>
            </w:tabs>
          </w:pPr>
          <w:hyperlink w:history="1" w:anchor="sec_3_2">
            <w:r>
              <w:rPr>
                <w:rStyle w:val="IndexLink"/>
              </w:rPr>
              <w:t xml:space="default">3.2 Framework compliance matrix</w:t>
              <w:tab/>
              <w:t xml:space="default">7</w:t>
            </w:r>
          </w:hyperlink>
        </w:p>
        <w:p>
          <w:pPr>
            <w:pStyle w:val="TOC1"/>
            <w:tabs>
              <w:tab w:val="clear" w:pos="9026"/>
              <w:tab w:val="right" w:pos="9025" w:leader="dot"/>
            </w:tabs>
          </w:pPr>
          <w:hyperlink w:history="1" w:anchor="sec_4">
            <w:r>
              <w:rPr>
                <w:rStyle w:val="IndexLink"/>
              </w:rPr>
              <w:t xml:space="default">4. Risk Assessment</w:t>
              <w:tab/>
              <w:t xml:space="default">9</w:t>
            </w:r>
          </w:hyperlink>
        </w:p>
        <w:p>
          <w:pPr>
            <w:pStyle w:val="TOC2"/>
            <w:tabs>
              <w:tab w:val="clear" w:pos="8786"/>
              <w:tab w:val="right" w:pos="9025" w:leader="dot"/>
            </w:tabs>
          </w:pPr>
          <w:hyperlink w:history="1" w:anchor="sec_4_1">
            <w:r>
              <w:rPr>
                <w:rStyle w:val="IndexLink"/>
              </w:rPr>
              <w:t xml:space="default">4.1 Method</w:t>
              <w:tab/>
              <w:t xml:space="default">9</w:t>
            </w:r>
          </w:hyperlink>
        </w:p>
        <w:p>
          <w:pPr>
            <w:pStyle w:val="TOC2"/>
            <w:tabs>
              <w:tab w:val="clear" w:pos="8786"/>
              <w:tab w:val="right" w:pos="9025" w:leader="dot"/>
            </w:tabs>
          </w:pPr>
          <w:hyperlink w:history="1" w:anchor="sec_4_2">
            <w:r>
              <w:rPr>
                <w:rStyle w:val="IndexLink"/>
              </w:rPr>
              <w:t xml:space="default">4.2 Risk criteria and assessment matrix</w:t>
              <w:tab/>
              <w:t xml:space="default">9</w:t>
            </w:r>
          </w:hyperlink>
        </w:p>
        <w:p>
          <w:pPr>
            <w:pStyle w:val="TOC2"/>
            <w:tabs>
              <w:tab w:val="clear" w:pos="8786"/>
              <w:tab w:val="right" w:pos="9025" w:leader="dot"/>
            </w:tabs>
          </w:pPr>
          <w:hyperlink w:history="1" w:anchor="sec_4_3">
            <w:r>
              <w:rPr>
                <w:rStyle w:val="IndexLink"/>
              </w:rPr>
              <w:t xml:space="default">4.3 Risk identification register</w:t>
              <w:tab/>
              <w:t xml:space="default">10</w:t>
            </w:r>
          </w:hyperlink>
        </w:p>
        <w:p>
          <w:pPr>
            <w:pStyle w:val="TOC2"/>
            <w:tabs>
              <w:tab w:val="clear" w:pos="8786"/>
              <w:tab w:val="right" w:pos="9025" w:leader="dot"/>
            </w:tabs>
          </w:pPr>
          <w:hyperlink w:history="1" w:anchor="sec_4_4">
            <w:r>
              <w:rPr>
                <w:rStyle w:val="IndexLink"/>
              </w:rPr>
              <w:t xml:space="default">4.4 Risk position before and after treatment</w:t>
              <w:tab/>
              <w:t xml:space="default">11</w:t>
            </w:r>
          </w:hyperlink>
        </w:p>
        <w:p>
          <w:pPr>
            <w:pStyle w:val="TOC1"/>
            <w:tabs>
              <w:tab w:val="clear" w:pos="9026"/>
              <w:tab w:val="right" w:pos="9025" w:leader="dot"/>
            </w:tabs>
          </w:pPr>
          <w:hyperlink w:history="1" w:anchor="sec_5">
            <w:r>
              <w:rPr>
                <w:rStyle w:val="IndexLink"/>
              </w:rPr>
              <w:t xml:space="default">5. Mitigation and Control Strategy</w:t>
              <w:tab/>
              <w:t xml:space="default">12</w:t>
            </w:r>
          </w:hyperlink>
        </w:p>
        <w:p>
          <w:pPr>
            <w:pStyle w:val="TOC2"/>
            <w:tabs>
              <w:tab w:val="clear" w:pos="8786"/>
              <w:tab w:val="right" w:pos="9025" w:leader="dot"/>
            </w:tabs>
          </w:pPr>
          <w:hyperlink w:history="1" w:anchor="sec_5_1">
            <w:r>
              <w:rPr>
                <w:rStyle w:val="IndexLink"/>
              </w:rPr>
              <w:t xml:space="default">5.1 Control strategy</w:t>
              <w:tab/>
              <w:t xml:space="default">12</w:t>
            </w:r>
          </w:hyperlink>
        </w:p>
        <w:p>
          <w:pPr>
            <w:pStyle w:val="TOC2"/>
            <w:tabs>
              <w:tab w:val="clear" w:pos="8786"/>
              <w:tab w:val="right" w:pos="9025" w:leader="dot"/>
            </w:tabs>
          </w:pPr>
          <w:hyperlink w:history="1" w:anchor="sec_5_2">
            <w:r>
              <w:rPr>
                <w:rStyle w:val="IndexLink"/>
              </w:rPr>
              <w:t xml:space="default">5.2 Controls by risk</w:t>
              <w:tab/>
              <w:t xml:space="default">12</w:t>
            </w:r>
          </w:hyperlink>
        </w:p>
        <w:p>
          <w:pPr>
            <w:pStyle w:val="TOC2"/>
            <w:tabs>
              <w:tab w:val="clear" w:pos="8786"/>
              <w:tab w:val="right" w:pos="9025" w:leader="dot"/>
            </w:tabs>
          </w:pPr>
          <w:hyperlink w:history="1" w:anchor="sec_5_3">
            <w:r>
              <w:rPr>
                <w:rStyle w:val="IndexLink"/>
              </w:rPr>
              <w:t xml:space="default">5.3 Mitigation and control strategy template</w:t>
              <w:tab/>
              <w:t xml:space="default">13</w:t>
            </w:r>
          </w:hyperlink>
        </w:p>
        <w:p>
          <w:pPr>
            <w:pStyle w:val="TOC1"/>
            <w:tabs>
              <w:tab w:val="clear" w:pos="9026"/>
              <w:tab w:val="right" w:pos="9025" w:leader="dot"/>
            </w:tabs>
          </w:pPr>
          <w:hyperlink w:history="1" w:anchor="sec_6">
            <w:r>
              <w:rPr>
                <w:rStyle w:val="IndexLink"/>
              </w:rPr>
              <w:t xml:space="default">6. Implementation Method Statement</w:t>
              <w:tab/>
              <w:t xml:space="default">15</w:t>
            </w:r>
          </w:hyperlink>
        </w:p>
        <w:p>
          <w:pPr>
            <w:pStyle w:val="TOC2"/>
            <w:tabs>
              <w:tab w:val="clear" w:pos="8786"/>
              <w:tab w:val="right" w:pos="9025" w:leader="dot"/>
            </w:tabs>
          </w:pPr>
          <w:hyperlink w:history="1" w:anchor="sec_6_1">
            <w:r>
              <w:rPr>
                <w:rStyle w:val="IndexLink"/>
              </w:rPr>
              <w:t xml:space="default">6.1 Security activities by phase</w:t>
              <w:tab/>
              <w:t xml:space="default">15</w:t>
            </w:r>
          </w:hyperlink>
        </w:p>
        <w:p>
          <w:pPr>
            <w:pStyle w:val="TOC2"/>
            <w:tabs>
              <w:tab w:val="clear" w:pos="8786"/>
              <w:tab w:val="right" w:pos="9025" w:leader="dot"/>
            </w:tabs>
          </w:pPr>
          <w:hyperlink w:history="1" w:anchor="sec_6_2">
            <w:r>
              <w:rPr>
                <w:rStyle w:val="IndexLink"/>
              </w:rPr>
              <w:t xml:space="default">6.2 Security testing</w:t>
              <w:tab/>
              <w:t xml:space="default">15</w:t>
            </w:r>
          </w:hyperlink>
        </w:p>
        <w:p>
          <w:pPr>
            <w:pStyle w:val="TOC2"/>
            <w:tabs>
              <w:tab w:val="clear" w:pos="8786"/>
              <w:tab w:val="right" w:pos="9025" w:leader="dot"/>
            </w:tabs>
          </w:pPr>
          <w:hyperlink w:history="1" w:anchor="sec_6_3">
            <w:r>
              <w:rPr>
                <w:rStyle w:val="IndexLink"/>
              </w:rPr>
              <w:t xml:space="default">6.3 Handover and operation</w:t>
              <w:tab/>
              <w:t xml:space="default">16</w:t>
            </w:r>
          </w:hyperlink>
        </w:p>
        <w:p>
          <w:pPr>
            <w:pStyle w:val="TOC1"/>
            <w:tabs>
              <w:tab w:val="clear" w:pos="9026"/>
              <w:tab w:val="right" w:pos="9025" w:leader="dot"/>
            </w:tabs>
          </w:pPr>
          <w:hyperlink w:history="1" w:anchor="sec_7">
            <w:r>
              <w:rPr>
                <w:rStyle w:val="IndexLink"/>
              </w:rPr>
              <w:t xml:space="default">7. Incident Response Plan</w:t>
              <w:tab/>
              <w:t xml:space="default">17</w:t>
            </w:r>
          </w:hyperlink>
        </w:p>
        <w:p>
          <w:pPr>
            <w:pStyle w:val="TOC2"/>
            <w:tabs>
              <w:tab w:val="clear" w:pos="8786"/>
              <w:tab w:val="right" w:pos="9025" w:leader="dot"/>
            </w:tabs>
          </w:pPr>
          <w:hyperlink w:history="1" w:anchor="sec_7_1">
            <w:r>
              <w:rPr>
                <w:rStyle w:val="IndexLink"/>
              </w:rPr>
              <w:t xml:space="default">7.1 Team and escalation matrix</w:t>
              <w:tab/>
              <w:t xml:space="default">17</w:t>
            </w:r>
          </w:hyperlink>
        </w:p>
        <w:p>
          <w:pPr>
            <w:pStyle w:val="TOC2"/>
            <w:tabs>
              <w:tab w:val="clear" w:pos="8786"/>
              <w:tab w:val="right" w:pos="9025" w:leader="dot"/>
            </w:tabs>
          </w:pPr>
          <w:hyperlink w:history="1" w:anchor="sec_7_2">
            <w:r>
              <w:rPr>
                <w:rStyle w:val="IndexLink"/>
              </w:rPr>
              <w:t xml:space="default">7.2 Response process</w:t>
              <w:tab/>
              <w:t xml:space="default">17</w:t>
            </w:r>
          </w:hyperlink>
        </w:p>
        <w:p>
          <w:pPr>
            <w:pStyle w:val="TOC2"/>
            <w:tabs>
              <w:tab w:val="clear" w:pos="8786"/>
              <w:tab w:val="right" w:pos="9025" w:leader="dot"/>
            </w:tabs>
          </w:pPr>
          <w:hyperlink w:history="1" w:anchor="sec_7_3">
            <w:r>
              <w:rPr>
                <w:rStyle w:val="IndexLink"/>
              </w:rPr>
              <w:t xml:space="default">7.3 Contractual incident categories</w:t>
              <w:tab/>
              <w:t xml:space="default">18</w:t>
            </w:r>
          </w:hyperlink>
        </w:p>
        <w:p>
          <w:pPr>
            <w:pStyle w:val="TOC2"/>
            <w:tabs>
              <w:tab w:val="clear" w:pos="8786"/>
              <w:tab w:val="right" w:pos="9025" w:leader="dot"/>
            </w:tabs>
          </w:pPr>
          <w:hyperlink w:history="1" w:anchor="sec_7_4">
            <w:r>
              <w:rPr>
                <w:rStyle w:val="IndexLink"/>
              </w:rPr>
              <w:t xml:space="default">7.4 Notification and reporting</w:t>
              <w:tab/>
              <w:t xml:space="default">19</w:t>
            </w:r>
          </w:hyperlink>
        </w:p>
        <w:p>
          <w:pPr>
            <w:pStyle w:val="TOC1"/>
            <w:tabs>
              <w:tab w:val="clear" w:pos="9026"/>
              <w:tab w:val="right" w:pos="9025" w:leader="dot"/>
            </w:tabs>
          </w:pPr>
          <w:hyperlink w:history="1" w:anchor="sec_8">
            <w:r>
              <w:rPr>
                <w:rStyle w:val="IndexLink"/>
              </w:rPr>
              <w:t xml:space="default">8. Business Continuity Response Plan</w:t>
              <w:tab/>
              <w:t xml:space="default">20</w:t>
            </w:r>
          </w:hyperlink>
        </w:p>
        <w:p>
          <w:pPr>
            <w:pStyle w:val="TOC2"/>
            <w:tabs>
              <w:tab w:val="clear" w:pos="8786"/>
              <w:tab w:val="right" w:pos="9025" w:leader="dot"/>
            </w:tabs>
          </w:pPr>
          <w:hyperlink w:history="1" w:anchor="sec_8_1">
            <w:r>
              <w:rPr>
                <w:rStyle w:val="IndexLink"/>
              </w:rPr>
              <w:t xml:space="default">8.1 Recovery targets and scenarios</w:t>
              <w:tab/>
              <w:t xml:space="default">20</w:t>
            </w:r>
          </w:hyperlink>
        </w:p>
        <w:p>
          <w:pPr>
            <w:pStyle w:val="TOC2"/>
            <w:tabs>
              <w:tab w:val="clear" w:pos="8786"/>
              <w:tab w:val="right" w:pos="9025" w:leader="dot"/>
            </w:tabs>
          </w:pPr>
          <w:hyperlink w:history="1" w:anchor="sec_8_2">
            <w:r>
              <w:rPr>
                <w:rStyle w:val="IndexLink"/>
              </w:rPr>
              <w:t xml:space="default">8.2 Activation, communication and testing</w:t>
              <w:tab/>
              <w:t xml:space="default">20</w:t>
            </w:r>
          </w:hyperlink>
        </w:p>
        <w:p>
          <w:pPr>
            <w:pStyle w:val="TOC1"/>
            <w:tabs>
              <w:tab w:val="clear" w:pos="9026"/>
              <w:tab w:val="right" w:pos="9025" w:leader="dot"/>
            </w:tabs>
          </w:pPr>
          <w:hyperlink w:history="1" w:anchor="sec_9">
            <w:r>
              <w:rPr>
                <w:rStyle w:val="IndexLink"/>
              </w:rPr>
              <w:t xml:space="default">9. Resources, Schedule and Capacity Building</w:t>
              <w:tab/>
              <w:t xml:space="default">22</w:t>
            </w:r>
          </w:hyperlink>
        </w:p>
        <w:p>
          <w:pPr>
            <w:pStyle w:val="TOC2"/>
            <w:tabs>
              <w:tab w:val="clear" w:pos="8786"/>
              <w:tab w:val="right" w:pos="9025" w:leader="dot"/>
            </w:tabs>
          </w:pPr>
          <w:hyperlink w:history="1" w:anchor="sec_9_1">
            <w:r>
              <w:rPr>
                <w:rStyle w:val="IndexLink"/>
              </w:rPr>
              <w:t xml:space="default">9.1 Cybersecurity work breakdown structure</w:t>
              <w:tab/>
              <w:t xml:space="default">22</w:t>
            </w:r>
          </w:hyperlink>
        </w:p>
        <w:p>
          <w:pPr>
            <w:pStyle w:val="TOC2"/>
            <w:tabs>
              <w:tab w:val="clear" w:pos="8786"/>
              <w:tab w:val="right" w:pos="9025" w:leader="dot"/>
            </w:tabs>
          </w:pPr>
          <w:hyperlink w:history="1" w:anchor="sec_9_2">
            <w:r>
              <w:rPr>
                <w:rStyle w:val="IndexLink"/>
              </w:rPr>
              <w:t xml:space="default">9.2 Timeline</w:t>
              <w:tab/>
              <w:t xml:space="default">23</w:t>
            </w:r>
          </w:hyperlink>
        </w:p>
        <w:p>
          <w:pPr>
            <w:pStyle w:val="TOC2"/>
            <w:tabs>
              <w:tab w:val="clear" w:pos="8786"/>
              <w:tab w:val="right" w:pos="9025" w:leader="dot"/>
            </w:tabs>
          </w:pPr>
          <w:hyperlink w:history="1" w:anchor="sec_9_3">
            <w:r>
              <w:rPr>
                <w:rStyle w:val="IndexLink"/>
              </w:rPr>
              <w:t xml:space="default">9.3 Resource and skill matrix</w:t>
              <w:tab/>
              <w:t xml:space="default">23</w:t>
            </w:r>
          </w:hyperlink>
        </w:p>
        <w:p>
          <w:pPr>
            <w:pStyle w:val="TOC2"/>
            <w:tabs>
              <w:tab w:val="clear" w:pos="8786"/>
              <w:tab w:val="right" w:pos="9025" w:leader="dot"/>
            </w:tabs>
          </w:pPr>
          <w:hyperlink w:history="1" w:anchor="sec_9_4">
            <w:r>
              <w:rPr>
                <w:rStyle w:val="IndexLink"/>
              </w:rPr>
              <w:t xml:space="default">9.4 Capacity building and knowledge transfer</w:t>
              <w:tab/>
              <w:t xml:space="default">24</w:t>
            </w:r>
          </w:hyperlink>
        </w:p>
        <w:p>
          <w:pPr>
            <w:pStyle w:val="TOC1"/>
            <w:tabs>
              <w:tab w:val="clear" w:pos="9026"/>
              <w:tab w:val="right" w:pos="9025" w:leader="dot"/>
            </w:tabs>
          </w:pPr>
          <w:hyperlink w:history="1" w:anchor="sec_10">
            <w:r>
              <w:rPr>
                <w:rStyle w:val="IndexLink"/>
              </w:rPr>
              <w:t xml:space="default">10. Innovations</w:t>
              <w:tab/>
              <w:t xml:space="default">26</w:t>
            </w:r>
          </w:hyperlink>
        </w:p>
        <w:p>
          <w:pPr>
            <w:pStyle w:val="TOC1"/>
            <w:tabs>
              <w:tab w:val="clear" w:pos="9026"/>
              <w:tab w:val="right" w:pos="9025" w:leader="dot"/>
            </w:tabs>
          </w:pPr>
          <w:hyperlink w:history="1" w:anchor="sec_11">
            <w:r>
              <w:rPr>
                <w:rStyle w:val="IndexLink"/>
              </w:rPr>
              <w:t xml:space="default">11. Compliance</w:t>
              <w:tab/>
              <w:t xml:space="default">27</w:t>
            </w:r>
          </w:hyperlink>
        </w:p>
        <w:p>
          <w:pPr>
            <w:pStyle w:val="TOC2"/>
            <w:tabs>
              <w:tab w:val="clear" w:pos="8786"/>
              <w:tab w:val="right" w:pos="9025" w:leader="dot"/>
            </w:tabs>
          </w:pPr>
          <w:hyperlink w:history="1" w:anchor="sec_11_1">
            <w:r>
              <w:rPr>
                <w:rStyle w:val="IndexLink"/>
              </w:rPr>
              <w:t xml:space="default">11.1 Compliance and governance statement</w:t>
              <w:tab/>
              <w:t xml:space="default">27</w:t>
            </w:r>
          </w:hyperlink>
        </w:p>
        <w:p>
          <w:pPr>
            <w:pStyle w:val="TOC2"/>
            <w:tabs>
              <w:tab w:val="clear" w:pos="8786"/>
              <w:tab w:val="right" w:pos="9025" w:leader="dot"/>
            </w:tabs>
          </w:pPr>
          <w:hyperlink w:history="1" w:anchor="sec_11_2">
            <w:r>
              <w:rPr>
                <w:rStyle w:val="IndexLink"/>
              </w:rPr>
              <w:t xml:space="default">11.2 Requirements compliance matrix</w:t>
              <w:tab/>
              <w:t xml:space="default">27</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2"/>
      <w:r>
        <w:rPr>
          <w:b w:val="false"/>
          <w:bCs w:val="false"/>
          <w:i w:val="false"/>
          <w:iCs w:val="false"/>
        </w:rPr>
        <w:t xml:space="preserve">urpose and scope</w:t>
      </w:r>
      <w:bookmarkEnd w:id="2"/>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and Configuration Governance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w:t>
      </w:r>
      <w:r>
        <w:rPr>
          <w:b w:val="false"/>
          <w:bCs w:val="false"/>
          <w:i w:val="false"/>
          <w:iCs w:val="false"/>
        </w:rPr>
        <w:t xml:space="preserve">System Architecture Section 10</w:t>
      </w:r>
      <w:r>
        <w:rPr>
          <w:b w:val="false"/>
          <w:bCs w:val="false"/>
          <w:i w:val="false"/>
          <w:iCs w:val="false"/>
        </w:rPr>
        <w:t xml:space="preserve">,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23"/>
        <w:gridCol w:w="2207"/>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23"/>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207"/>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23"/>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23"/>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23"/>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3"/>
      <w:r>
        <w:rPr>
          <w:b w:val="false"/>
          <w:bCs w:val="false"/>
          <w:i w:val="false"/>
          <w:iCs w:val="false"/>
        </w:rPr>
        <w:t xml:space="preserve">rameworks and method</w:t>
      </w:r>
      <w:bookmarkEnd w:id="3"/>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The information security management system of Inkript, the joint venture member responsible for the Information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pPr>
        <w:pStyle w:val="Heading1"/>
        <w:pageBreakBefore/>
        <w:numPr>
          <w:ilvl w:val="0"/>
          <w:numId w:val="2"/>
        </w:numPr>
        <w:spacing w:after="140" w:before="240"/>
      </w:pPr>
      <w:r>
        <w:t xml:space="preserve">G</w:t>
      </w:r>
      <w:bookmarkStart w:name="sec_2" w:id="4"/>
      <w:r>
        <w:rPr>
          <w:b w:val="false"/>
          <w:bCs w:val="false"/>
          <w:i w:val="false"/>
          <w:iCs w:val="false"/>
        </w:rPr>
        <w:t xml:space="preserve">overnance</w:t>
      </w:r>
      <w:bookmarkEnd w:id="4"/>
    </w:p>
    <w:p>
      <w:pPr>
        <w:pStyle w:val="Heading2"/>
        <w:numPr>
          <w:ilvl w:val="1"/>
          <w:numId w:val="2"/>
        </w:numPr>
        <w:spacing w:after="140" w:before="260"/>
      </w:pPr>
      <w:r>
        <w:t xml:space="preserve">G</w:t>
      </w:r>
      <w:bookmarkStart w:name="sec_2_1" w:id="5"/>
      <w:r>
        <w:rPr>
          <w:b w:val="false"/>
          <w:bCs w:val="false"/>
          <w:i w:val="false"/>
          <w:iCs w:val="false"/>
        </w:rPr>
        <w:t xml:space="preserve">overnance and decision rights</w:t>
      </w:r>
      <w:bookmarkEnd w:id="5"/>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The Supplier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6"/>
      <w:r>
        <w:rPr>
          <w:b w:val="false"/>
          <w:bCs w:val="false"/>
          <w:i w:val="false"/>
          <w:iCs w:val="false"/>
        </w:rPr>
        <w:t xml:space="preserve">ecurity policies</w:t>
      </w:r>
      <w:bookmarkEnd w:id="6"/>
    </w:p>
    <w:p>
      <w:pPr>
        <w:spacing w:after="140" w:line="276"/>
      </w:pPr>
      <w:r>
        <w:rPr>
          <w:b w:val="false"/>
          <w:bCs w:val="false"/>
          <w:i w:val="false"/>
          <w:iCs w:val="false"/>
        </w:rPr>
        <w:t xml:space="preserve">The System enforces the following policies, as stated in </w:t>
      </w:r>
      <w:r>
        <w:rPr>
          <w:b w:val="false"/>
          <w:bCs w:val="false"/>
          <w:i w:val="false"/>
          <w:iCs w:val="false"/>
        </w:rPr>
        <w:t xml:space="preserve">System Architecture Section 10.7</w:t>
      </w:r>
      <w:r>
        <w:rPr>
          <w:b w:val="false"/>
          <w:bCs w:val="false"/>
          <w:i w:val="false"/>
          <w:iCs w:val="false"/>
        </w:rPr>
        <w:t xml:space="preserve">.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pPr>
        <w:pStyle w:val="Heading1"/>
        <w:pageBreakBefore/>
        <w:numPr>
          <w:ilvl w:val="0"/>
          <w:numId w:val="2"/>
        </w:numPr>
        <w:spacing w:after="140" w:before="240"/>
      </w:pPr>
      <w:r>
        <w:t xml:space="preserve">A</w:t>
      </w:r>
      <w:bookmarkStart w:name="sec_3" w:id="7"/>
      <w:r>
        <w:rPr>
          <w:b w:val="false"/>
          <w:bCs w:val="false"/>
          <w:i w:val="false"/>
          <w:iCs w:val="false"/>
        </w:rPr>
        <w:t xml:space="preserve">rchitecture and Framework Compliance</w:t>
      </w:r>
      <w:bookmarkEnd w:id="7"/>
    </w:p>
    <w:p>
      <w:pPr>
        <w:pStyle w:val="Heading2"/>
        <w:numPr>
          <w:ilvl w:val="1"/>
          <w:numId w:val="2"/>
        </w:numPr>
        <w:spacing w:after="140" w:before="260"/>
      </w:pPr>
      <w:r>
        <w:t xml:space="preserve">C</w:t>
      </w:r>
      <w:bookmarkStart w:name="sec_3_1" w:id="8"/>
      <w:r>
        <w:rPr>
          <w:b w:val="false"/>
          <w:bCs w:val="false"/>
          <w:i w:val="false"/>
          <w:iCs w:val="false"/>
        </w:rPr>
        <w:t xml:space="preserve">ybersecurity architecture</w:t>
      </w:r>
      <w:bookmarkEnd w:id="8"/>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w:t>
      </w:r>
      <w:r>
        <w:rPr>
          <w:b w:val="false"/>
          <w:bCs w:val="false"/>
          <w:i w:val="false"/>
          <w:iCs w:val="false"/>
        </w:rPr>
        <w:t xml:space="preserve">System Architecture Section 10</w:t>
      </w:r>
      <w:r>
        <w:rPr>
          <w:b w:val="false"/>
          <w:bCs w:val="false"/>
          <w:i w:val="false"/>
          <w:iCs w:val="false"/>
        </w:rPr>
        <w:t xml:space="preserve">, with the network zones in </w:t>
      </w:r>
      <w:r>
        <w:rPr>
          <w:b w:val="false"/>
          <w:bCs w:val="false"/>
          <w:i w:val="false"/>
          <w:iCs w:val="false"/>
        </w:rPr>
        <w:t xml:space="preserve">System Architecture Section 9.2</w:t>
      </w:r>
      <w:r>
        <w:rPr>
          <w:b w:val="false"/>
          <w:bCs w:val="false"/>
          <w:i w:val="false"/>
          <w:iCs w:val="false"/>
        </w:rPr>
        <w:t xml:space="preserve">.</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9"/>
      <w:r>
        <w:rPr>
          <w:b w:val="false"/>
          <w:bCs w:val="false"/>
          <w:i w:val="false"/>
          <w:iCs w:val="false"/>
        </w:rPr>
        <w:t xml:space="preserve">ramework compliance matrix</w:t>
      </w:r>
      <w:bookmarkEnd w:id="9"/>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w:t>
            </w:r>
            <w:r>
              <w:rPr>
                <w:b w:val="false"/>
                <w:bCs w:val="false"/>
                <w:i w:val="false"/>
                <w:iCs w:val="false"/>
              </w:rPr>
              <w:t xml:space="preserve">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w:t>
            </w:r>
            <w:r>
              <w:rPr>
                <w:b w:val="false"/>
                <w:bCs w:val="false"/>
                <w:i w:val="false"/>
                <w:iCs w:val="false"/>
              </w:rPr>
              <w:t xml:space="preserve">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w:t>
            </w:r>
            <w:r>
              <w:rPr>
                <w:b w:val="false"/>
                <w:bCs w:val="false"/>
                <w:i w:val="false"/>
                <w:iCs w:val="false"/>
              </w:rPr>
              <w:t xml:space="preserve">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w:t>
            </w:r>
            <w:r>
              <w:rPr>
                <w:b w:val="false"/>
                <w:bCs w:val="false"/>
                <w:i w:val="false"/>
                <w:iCs w:val="false"/>
              </w:rPr>
              <w:t xml:space="preserve">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w:t>
            </w:r>
            <w:r>
              <w:rPr>
                <w:b w:val="false"/>
                <w:bCs w:val="false"/>
                <w:i w:val="false"/>
                <w:iCs w:val="false"/>
              </w:rPr>
              <w:t xml:space="preserve">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pStyle w:val="Heading1"/>
        <w:pageBreakBefore/>
        <w:numPr>
          <w:ilvl w:val="0"/>
          <w:numId w:val="2"/>
        </w:numPr>
        <w:spacing w:after="140" w:before="240"/>
      </w:pPr>
      <w:r>
        <w:t xml:space="preserve">R</w:t>
      </w:r>
      <w:bookmarkStart w:name="sec_4" w:id="10"/>
      <w:r>
        <w:rPr>
          <w:b w:val="false"/>
          <w:bCs w:val="false"/>
          <w:i w:val="false"/>
          <w:iCs w:val="false"/>
        </w:rPr>
        <w:t xml:space="preserve">isk Assessment</w:t>
      </w:r>
      <w:bookmarkEnd w:id="10"/>
    </w:p>
    <w:p>
      <w:pPr>
        <w:pStyle w:val="Heading2"/>
        <w:numPr>
          <w:ilvl w:val="1"/>
          <w:numId w:val="2"/>
        </w:numPr>
        <w:spacing w:after="140" w:before="260"/>
      </w:pPr>
      <w:r>
        <w:t xml:space="preserve">M</w:t>
      </w:r>
      <w:bookmarkStart w:name="sec_4_1" w:id="11"/>
      <w:r>
        <w:rPr>
          <w:b w:val="false"/>
          <w:bCs w:val="false"/>
          <w:i w:val="false"/>
          <w:iCs w:val="false"/>
        </w:rPr>
        <w:t xml:space="preserve">ethod</w:t>
      </w:r>
      <w:bookmarkEnd w:id="1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2"/>
      <w:r>
        <w:rPr>
          <w:b w:val="false"/>
          <w:bCs w:val="false"/>
          <w:i w:val="false"/>
          <w:iCs w:val="false"/>
        </w:rPr>
        <w:t xml:space="preserve">isk criteria and assessment matrix</w:t>
      </w:r>
      <w:bookmarkEnd w:id="1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3"/>
      <w:r>
        <w:rPr>
          <w:b w:val="false"/>
          <w:bCs w:val="false"/>
          <w:i w:val="false"/>
          <w:iCs w:val="false"/>
        </w:rPr>
        <w:t xml:space="preserve">isk identification register</w:t>
      </w:r>
      <w:bookmarkEnd w:id="13"/>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4"/>
      <w:r>
        <w:rPr>
          <w:b w:val="false"/>
          <w:bCs w:val="false"/>
          <w:i w:val="false"/>
          <w:iCs w:val="false"/>
        </w:rPr>
        <w:t xml:space="preserve">isk position before and after treatment</w:t>
      </w:r>
      <w:bookmarkEnd w:id="14"/>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pPr>
        <w:pStyle w:val="Heading1"/>
        <w:pageBreakBefore/>
        <w:numPr>
          <w:ilvl w:val="0"/>
          <w:numId w:val="2"/>
        </w:numPr>
        <w:spacing w:after="140" w:before="240"/>
      </w:pPr>
      <w:r>
        <w:t xml:space="preserve">M</w:t>
      </w:r>
      <w:bookmarkStart w:name="sec_5" w:id="15"/>
      <w:r>
        <w:rPr>
          <w:b w:val="false"/>
          <w:bCs w:val="false"/>
          <w:i w:val="false"/>
          <w:iCs w:val="false"/>
        </w:rPr>
        <w:t xml:space="preserve">itigation and Control Strategy</w:t>
      </w:r>
      <w:bookmarkEnd w:id="15"/>
    </w:p>
    <w:p>
      <w:pPr>
        <w:pStyle w:val="Heading2"/>
        <w:numPr>
          <w:ilvl w:val="1"/>
          <w:numId w:val="2"/>
        </w:numPr>
        <w:spacing w:after="140" w:before="260"/>
      </w:pPr>
      <w:r>
        <w:t xml:space="preserve">C</w:t>
      </w:r>
      <w:bookmarkStart w:name="sec_5_1" w:id="16"/>
      <w:r>
        <w:rPr>
          <w:b w:val="false"/>
          <w:bCs w:val="false"/>
          <w:i w:val="false"/>
          <w:iCs w:val="false"/>
        </w:rPr>
        <w:t xml:space="preserve">ontrol strategy</w:t>
      </w:r>
      <w:bookmarkEnd w:id="1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7"/>
      <w:r>
        <w:rPr>
          <w:b w:val="false"/>
          <w:bCs w:val="false"/>
          <w:i w:val="false"/>
          <w:iCs w:val="false"/>
        </w:rPr>
        <w:t xml:space="preserve">ontrols by risk</w:t>
      </w:r>
      <w:bookmarkEnd w:id="17"/>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VLAN, reached only through the firewall pair;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8"/>
      <w:r>
        <w:rPr>
          <w:b w:val="false"/>
          <w:bCs w:val="false"/>
          <w:i w:val="false"/>
          <w:iCs w:val="false"/>
        </w:rPr>
        <w:t xml:space="preserve">itigation and control strategy template</w:t>
      </w:r>
      <w:bookmarkEnd w:id="18"/>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pStyle w:val="Heading1"/>
        <w:pageBreakBefore/>
        <w:numPr>
          <w:ilvl w:val="0"/>
          <w:numId w:val="2"/>
        </w:numPr>
        <w:spacing w:after="140" w:before="240"/>
      </w:pPr>
      <w:r>
        <w:t xml:space="preserve">I</w:t>
      </w:r>
      <w:bookmarkStart w:name="sec_6" w:id="19"/>
      <w:r>
        <w:rPr>
          <w:b w:val="false"/>
          <w:bCs w:val="false"/>
          <w:i w:val="false"/>
          <w:iCs w:val="false"/>
        </w:rPr>
        <w:t xml:space="preserve">mplementation Method Statement</w:t>
      </w:r>
      <w:bookmarkEnd w:id="19"/>
    </w:p>
    <w:p>
      <w:pPr>
        <w:pStyle w:val="Heading2"/>
        <w:numPr>
          <w:ilvl w:val="1"/>
          <w:numId w:val="2"/>
        </w:numPr>
        <w:spacing w:after="140" w:before="260"/>
      </w:pPr>
      <w:r>
        <w:t xml:space="preserve">S</w:t>
      </w:r>
      <w:bookmarkStart w:name="sec_6_1" w:id="20"/>
      <w:r>
        <w:rPr>
          <w:b w:val="false"/>
          <w:bCs w:val="false"/>
          <w:i w:val="false"/>
          <w:iCs w:val="false"/>
        </w:rPr>
        <w:t xml:space="preserve">ecurity activities by phase</w:t>
      </w:r>
      <w:bookmarkEnd w:id="20"/>
    </w:p>
    <w:p>
      <w:pPr>
        <w:spacing w:after="140" w:line="276"/>
      </w:pPr>
      <w:r>
        <w:rPr>
          <w:b w:val="false"/>
          <w:bCs w:val="false"/>
          <w:i w:val="false"/>
          <w:iCs w:val="false"/>
        </w:rPr>
        <w:t xml:space="preserve">Security runs through every phase of the Implementation Sub-Plan in </w:t>
      </w:r>
      <w:r>
        <w:rPr>
          <w:b w:val="false"/>
          <w:bCs w:val="false"/>
          <w:i w:val="false"/>
          <w:iCs w:val="false"/>
        </w:rPr>
        <w:t xml:space="preserve">Preliminary Project Plan Section 2.1</w:t>
      </w:r>
      <w:r>
        <w:rPr>
          <w:b w:val="false"/>
          <w:bCs w:val="false"/>
          <w:i w:val="false"/>
          <w:iCs w:val="false"/>
        </w:rPr>
        <w:t xml:space="preserve">,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21"/>
      <w:r>
        <w:rPr>
          <w:b w:val="false"/>
          <w:bCs w:val="false"/>
          <w:i w:val="false"/>
          <w:iCs w:val="false"/>
        </w:rPr>
        <w:t xml:space="preserve">ecurity testing</w:t>
      </w:r>
      <w:bookmarkEnd w:id="2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the Supplier, and its scope and rules of engagement are approved by NRB before testing begins.</w:t>
      </w:r>
    </w:p>
    <w:p>
      <w:pPr>
        <w:pStyle w:val="Heading2"/>
        <w:numPr>
          <w:ilvl w:val="1"/>
          <w:numId w:val="2"/>
        </w:numPr>
        <w:spacing w:after="140" w:before="260"/>
      </w:pPr>
      <w:r>
        <w:t xml:space="preserve">H</w:t>
      </w:r>
      <w:bookmarkStart w:name="sec_6_3" w:id="22"/>
      <w:r>
        <w:rPr>
          <w:b w:val="false"/>
          <w:bCs w:val="false"/>
          <w:i w:val="false"/>
          <w:iCs w:val="false"/>
        </w:rPr>
        <w:t xml:space="preserve">andover and operation</w:t>
      </w:r>
      <w:bookmarkEnd w:id="22"/>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pPr>
        <w:pStyle w:val="Heading1"/>
        <w:pageBreakBefore/>
        <w:numPr>
          <w:ilvl w:val="0"/>
          <w:numId w:val="2"/>
        </w:numPr>
        <w:spacing w:after="140" w:before="240"/>
      </w:pPr>
      <w:r>
        <w:t xml:space="preserve">I</w:t>
      </w:r>
      <w:bookmarkStart w:name="sec_7" w:id="23"/>
      <w:r>
        <w:rPr>
          <w:b w:val="false"/>
          <w:bCs w:val="false"/>
          <w:i w:val="false"/>
          <w:iCs w:val="false"/>
        </w:rPr>
        <w:t xml:space="preserve">ncident Response Plan</w:t>
      </w:r>
      <w:bookmarkEnd w:id="23"/>
    </w:p>
    <w:p>
      <w:pPr>
        <w:pStyle w:val="Heading2"/>
        <w:numPr>
          <w:ilvl w:val="1"/>
          <w:numId w:val="2"/>
        </w:numPr>
        <w:spacing w:after="140" w:before="260"/>
      </w:pPr>
      <w:r>
        <w:t xml:space="preserve">T</w:t>
      </w:r>
      <w:bookmarkStart w:name="sec_7_1" w:id="24"/>
      <w:r>
        <w:rPr>
          <w:b w:val="false"/>
          <w:bCs w:val="false"/>
          <w:i w:val="false"/>
          <w:iCs w:val="false"/>
        </w:rPr>
        <w:t xml:space="preserve">eam and escalation matrix</w:t>
      </w:r>
      <w:bookmarkEnd w:id="24"/>
    </w:p>
    <w:p>
      <w:pPr>
        <w:spacing w:after="140" w:line="276"/>
      </w:pPr>
      <w:r>
        <w:rPr>
          <w:b w:val="false"/>
          <w:bCs w:val="false"/>
          <w:i w:val="false"/>
          <w:iCs w:val="false"/>
        </w:rPr>
        <w:t xml:space="preserve">The plan is aligned with NIST Special Publication 800-61 Revision 3 and uses the incident classes S1 to S4 defined in </w:t>
      </w:r>
      <w:r>
        <w:rPr>
          <w:b w:val="false"/>
          <w:bCs w:val="false"/>
          <w:i w:val="false"/>
          <w:iCs w:val="false"/>
        </w:rPr>
        <w:t xml:space="preserve">System Architecture Section 10.7</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25"/>
      <w:r>
        <w:rPr>
          <w:b w:val="false"/>
          <w:bCs w:val="false"/>
          <w:i w:val="false"/>
          <w:iCs w:val="false"/>
        </w:rPr>
        <w:t xml:space="preserve">esponse process</w:t>
      </w:r>
      <w:bookmarkEnd w:id="25"/>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w:t>
            </w:r>
            <w:r>
              <w:rPr>
                <w:b w:val="false"/>
                <w:bCs w:val="false"/>
                <w:i w:val="false"/>
                <w:iCs w:val="false"/>
              </w:rPr>
              <w:t xml:space="preserve">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26"/>
      <w:r>
        <w:rPr>
          <w:b w:val="false"/>
          <w:bCs w:val="false"/>
          <w:i w:val="false"/>
          <w:iCs w:val="false"/>
        </w:rPr>
        <w:t xml:space="preserve">ontractual incident categories</w:t>
      </w:r>
      <w:bookmarkEnd w:id="26"/>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27"/>
      <w:r>
        <w:rPr>
          <w:b w:val="false"/>
          <w:bCs w:val="false"/>
          <w:i w:val="false"/>
          <w:iCs w:val="false"/>
        </w:rPr>
        <w:t xml:space="preserve">otification and reporting</w:t>
      </w:r>
      <w:bookmarkEnd w:id="27"/>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pPr>
        <w:pStyle w:val="Heading1"/>
        <w:pageBreakBefore/>
        <w:numPr>
          <w:ilvl w:val="0"/>
          <w:numId w:val="2"/>
        </w:numPr>
        <w:spacing w:after="140" w:before="240"/>
      </w:pPr>
      <w:r>
        <w:t xml:space="preserve">B</w:t>
      </w:r>
      <w:bookmarkStart w:name="sec_8" w:id="28"/>
      <w:r>
        <w:rPr>
          <w:b w:val="false"/>
          <w:bCs w:val="false"/>
          <w:i w:val="false"/>
          <w:iCs w:val="false"/>
        </w:rPr>
        <w:t xml:space="preserve">usiness Continuity Response Plan</w:t>
      </w:r>
      <w:bookmarkEnd w:id="28"/>
    </w:p>
    <w:p>
      <w:pPr>
        <w:pStyle w:val="Heading2"/>
        <w:numPr>
          <w:ilvl w:val="1"/>
          <w:numId w:val="2"/>
        </w:numPr>
        <w:spacing w:after="140" w:before="260"/>
      </w:pPr>
      <w:r>
        <w:t xml:space="preserve">R</w:t>
      </w:r>
      <w:bookmarkStart w:name="sec_8_1" w:id="29"/>
      <w:r>
        <w:rPr>
          <w:b w:val="false"/>
          <w:bCs w:val="false"/>
          <w:i w:val="false"/>
          <w:iCs w:val="false"/>
        </w:rPr>
        <w:t xml:space="preserve">ecovery targets and scenarios</w:t>
      </w:r>
      <w:bookmarkEnd w:id="29"/>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w:t>
      </w:r>
      <w:r>
        <w:rPr>
          <w:b w:val="false"/>
          <w:bCs w:val="false"/>
          <w:i w:val="false"/>
          <w:iCs w:val="false"/>
        </w:rPr>
        <w:t xml:space="preserve">System Architecture Section 9.3</w:t>
      </w:r>
      <w:r>
        <w:rPr>
          <w:b w:val="false"/>
          <w:bCs w:val="false"/>
          <w:i w:val="false"/>
          <w:iCs w:val="false"/>
        </w:rPr>
        <w:t xml:space="preserve">: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77"/>
        <w:gridCol w:w="6743"/>
      </w:tblGrid>
      <w:tr>
        <w:trPr>
          <w:tblHeader/>
        </w:trPr>
        <w:tc>
          <w:tcPr>
            <w:tcW w:type="dxa" w:w="2277"/>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743"/>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host, switch, firewall, load balancer or storage controller</w:t>
            </w:r>
          </w:p>
        </w:tc>
        <w:tc>
          <w:tcPr>
            <w:tcW w:type="dxa" w:w="6743"/>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hardware security module at the primary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Signing continues on the module at the secondary site, over the encrypted connection between the sites; the module replaced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743"/>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743"/>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w:t>
            </w:r>
            <w:r>
              <w:rPr>
                <w:b w:val="false"/>
                <w:bCs w:val="false"/>
                <w:i w:val="false"/>
                <w:iCs w:val="false"/>
              </w:rPr>
              <w:t xml:space="preserve">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30"/>
      <w:r>
        <w:rPr>
          <w:b w:val="false"/>
          <w:bCs w:val="false"/>
          <w:i w:val="false"/>
          <w:iCs w:val="false"/>
        </w:rPr>
        <w:t xml:space="preserve">ctivation, communication and testing</w:t>
      </w:r>
      <w:bookmarkEnd w:id="30"/>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pPr>
        <w:pStyle w:val="Heading1"/>
        <w:pageBreakBefore/>
        <w:numPr>
          <w:ilvl w:val="0"/>
          <w:numId w:val="2"/>
        </w:numPr>
        <w:spacing w:after="140" w:before="240"/>
      </w:pPr>
      <w:r>
        <w:t xml:space="preserve">R</w:t>
      </w:r>
      <w:bookmarkStart w:name="sec_9" w:id="31"/>
      <w:r>
        <w:rPr>
          <w:b w:val="false"/>
          <w:bCs w:val="false"/>
          <w:i w:val="false"/>
          <w:iCs w:val="false"/>
        </w:rPr>
        <w:t xml:space="preserve">esources, Schedule and Capacity Building</w:t>
      </w:r>
      <w:bookmarkEnd w:id="31"/>
    </w:p>
    <w:p>
      <w:pPr>
        <w:pStyle w:val="Heading2"/>
        <w:numPr>
          <w:ilvl w:val="1"/>
          <w:numId w:val="2"/>
        </w:numPr>
        <w:spacing w:after="140" w:before="260"/>
      </w:pPr>
      <w:r>
        <w:t xml:space="preserve">C</w:t>
      </w:r>
      <w:bookmarkStart w:name="sec_9_1" w:id="32"/>
      <w:r>
        <w:rPr>
          <w:b w:val="false"/>
          <w:bCs w:val="false"/>
          <w:i w:val="false"/>
          <w:iCs w:val="false"/>
        </w:rPr>
        <w:t xml:space="preserve">ybersecurity work breakdown structure</w:t>
      </w:r>
      <w:bookmarkEnd w:id="32"/>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33"/>
      <w:r>
        <w:rPr>
          <w:b w:val="false"/>
          <w:bCs w:val="false"/>
          <w:i w:val="false"/>
          <w:iCs w:val="false"/>
        </w:rPr>
        <w:t xml:space="preserve">imeline</w:t>
      </w:r>
      <w:bookmarkEnd w:id="33"/>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w:t>
      </w:r>
      <w:r>
        <w:rPr>
          <w:b w:val="false"/>
          <w:bCs w:val="false"/>
          <w:i/>
          <w:iCs/>
        </w:rPr>
        <w:t xml:space="preserve">Preliminary Project Plan Section 2.2</w:t>
      </w:r>
      <w:r>
        <w:rPr>
          <w:b w:val="false"/>
          <w:bCs w:val="false"/>
          <w:i/>
          <w:iCs/>
        </w:rPr>
        <w:t xml:space="preserve">.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34"/>
      <w:r>
        <w:rPr>
          <w:b w:val="false"/>
          <w:bCs w:val="false"/>
          <w:i w:val="false"/>
          <w:iCs w:val="false"/>
        </w:rPr>
        <w:t xml:space="preserve">esource and skill matrix</w:t>
      </w:r>
      <w:bookmarkEnd w:id="34"/>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65"/>
        <w:gridCol w:w="4484"/>
        <w:gridCol w:w="2471"/>
      </w:tblGrid>
      <w:tr>
        <w:trPr>
          <w:tblHeader/>
        </w:trPr>
        <w:tc>
          <w:tcPr>
            <w:tcW w:type="dxa" w:w="2065"/>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484"/>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471"/>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4484"/>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certificates</w:t>
            </w:r>
          </w:p>
        </w:tc>
        <w:tc>
          <w:tcPr>
            <w:tcW w:type="dxa" w:w="2471"/>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4484"/>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471"/>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4484"/>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471"/>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4484"/>
            <w:tcMar>
              <w:top w:type="dxa" w:w="60"/>
              <w:left w:type="dxa" w:w="100"/>
              <w:bottom w:type="dxa" w:w="60"/>
              <w:right w:type="dxa" w:w="100"/>
            </w:tcMar>
          </w:tcPr>
          <w:p>
            <w:pPr>
              <w:spacing w:after="0" w:before="0"/>
            </w:pPr>
            <w:r>
              <w:rPr>
                <w:b w:val="false"/>
                <w:bCs w:val="false"/>
                <w:i w:val="false"/>
                <w:iCs w:val="false"/>
              </w:rPr>
              <w:t xml:space="preserve">Independent of the Supplier; CREST accredited or equivalent</w:t>
            </w:r>
          </w:p>
        </w:tc>
        <w:tc>
          <w:tcPr>
            <w:tcW w:type="dxa" w:w="2471"/>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qualifications of the other roles are set out in the Key Personnel CVs.</w:t>
      </w:r>
    </w:p>
    <w:p>
      <w:pPr>
        <w:pStyle w:val="Heading2"/>
        <w:numPr>
          <w:ilvl w:val="1"/>
          <w:numId w:val="2"/>
        </w:numPr>
        <w:spacing w:after="140" w:before="260"/>
      </w:pPr>
      <w:r>
        <w:t xml:space="preserve">C</w:t>
      </w:r>
      <w:bookmarkStart w:name="sec_9_4" w:id="35"/>
      <w:r>
        <w:rPr>
          <w:b w:val="false"/>
          <w:bCs w:val="false"/>
          <w:i w:val="false"/>
          <w:iCs w:val="false"/>
        </w:rPr>
        <w:t xml:space="preserve">apacity building and knowledge transfer</w:t>
      </w:r>
      <w:bookmarkEnd w:id="35"/>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w:t>
      </w:r>
      <w:r>
        <w:rPr>
          <w:b w:val="false"/>
          <w:bCs w:val="false"/>
          <w:i w:val="false"/>
          <w:iCs w:val="false"/>
        </w:rPr>
        <w:t xml:space="preserve">Preliminary Project Plan Section 3</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pPr>
        <w:pStyle w:val="Heading1"/>
        <w:pageBreakBefore/>
        <w:numPr>
          <w:ilvl w:val="0"/>
          <w:numId w:val="2"/>
        </w:numPr>
        <w:spacing w:after="140" w:before="240"/>
      </w:pPr>
      <w:r>
        <w:t xml:space="preserve">I</w:t>
      </w:r>
      <w:bookmarkStart w:name="sec_10" w:id="36"/>
      <w:r>
        <w:rPr>
          <w:b w:val="false"/>
          <w:bCs w:val="false"/>
          <w:i w:val="false"/>
          <w:iCs w:val="false"/>
        </w:rPr>
        <w:t xml:space="preserve">nnovations</w:t>
      </w:r>
      <w:bookmarkEnd w:id="36"/>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pStyle w:val="Heading1"/>
        <w:pageBreakBefore/>
        <w:numPr>
          <w:ilvl w:val="0"/>
          <w:numId w:val="2"/>
        </w:numPr>
        <w:spacing w:after="140" w:before="240"/>
      </w:pPr>
      <w:r>
        <w:t xml:space="preserve">C</w:t>
      </w:r>
      <w:bookmarkStart w:name="sec_11" w:id="37"/>
      <w:r>
        <w:rPr>
          <w:b w:val="false"/>
          <w:bCs w:val="false"/>
          <w:i w:val="false"/>
          <w:iCs w:val="false"/>
        </w:rPr>
        <w:t xml:space="preserve">ompliance</w:t>
      </w:r>
      <w:bookmarkEnd w:id="37"/>
    </w:p>
    <w:p>
      <w:pPr>
        <w:pStyle w:val="Heading2"/>
        <w:numPr>
          <w:ilvl w:val="1"/>
          <w:numId w:val="2"/>
        </w:numPr>
        <w:spacing w:after="140" w:before="260"/>
      </w:pPr>
      <w:r>
        <w:t xml:space="preserve">C</w:t>
      </w:r>
      <w:bookmarkStart w:name="sec_11_1" w:id="38"/>
      <w:r>
        <w:rPr>
          <w:b w:val="false"/>
          <w:bCs w:val="false"/>
          <w:i w:val="false"/>
          <w:iCs w:val="false"/>
        </w:rPr>
        <w:t xml:space="preserve">ompliance and governance statement</w:t>
      </w:r>
      <w:bookmarkEnd w:id="38"/>
    </w:p>
    <w:p>
      <w:pPr>
        <w:spacing w:after="140" w:line="276"/>
      </w:pPr>
      <w:r>
        <w:rPr>
          <w:b w:val="false"/>
          <w:bCs w:val="false"/>
          <w:i w:val="false"/>
          <w:iCs w:val="false"/>
        </w:rPr>
        <w:t xml:space="preserve">The Proposer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w:t>
      </w:r>
      <w:r>
        <w:rPr>
          <w:b w:val="false"/>
          <w:bCs w:val="false"/>
          <w:i w:val="false"/>
          <w:iCs w:val="false"/>
        </w:rPr>
        <w:t xml:space="preserve">System Architecture Section 10</w:t>
      </w:r>
      <w:r>
        <w:rPr>
          <w:b w:val="false"/>
          <w:bCs w:val="false"/>
          <w:i w:val="false"/>
          <w:iCs w:val="false"/>
        </w:rPr>
        <w:t xml:space="preserve">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ensure that Inkript, the joint venture member responsible for the Information System, maintains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39"/>
      <w:r>
        <w:rPr>
          <w:b w:val="false"/>
          <w:bCs w:val="false"/>
          <w:i w:val="false"/>
          <w:iCs w:val="false"/>
        </w:rPr>
        <w:t xml:space="preserve">equirements compliance matrix</w:t>
      </w:r>
      <w:bookmarkEnd w:id="39"/>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62"/>
        <w:gridCol w:w="2458"/>
      </w:tblGrid>
      <w:tr>
        <w:trPr>
          <w:tblHeader/>
        </w:trPr>
        <w:tc>
          <w:tcPr>
            <w:tcW w:type="dxa" w:w="656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458"/>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10.1</w:t>
            </w:r>
            <w:r>
              <w:rPr>
                <w:b w:val="false"/>
                <w:bCs w:val="false"/>
                <w:i w:val="false"/>
                <w:iCs w:val="false"/>
              </w:rPr>
              <w:t xml:space="preserve">; </w:t>
            </w:r>
            <w:r>
              <w:rPr>
                <w:b w:val="false"/>
                <w:bCs w:val="false"/>
                <w:i w:val="false"/>
                <w:iCs w:val="false"/>
              </w:rPr>
              <w:t xml:space="preserve">Section </w:t>
            </w:r>
            <w:fldSimple w:instr="REF sec_3_1 \w \h">
              <w:r>
                <w:t xml:space="preserve">3.1</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9.2, 10.1</w:t>
            </w:r>
            <w:r>
              <w:rPr>
                <w:b w:val="false"/>
                <w:bCs w:val="false"/>
                <w:i w:val="false"/>
                <w:iCs w:val="false"/>
              </w:rPr>
              <w:t xml:space="preserve"> to 10.6</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10.3</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10.5</w:t>
            </w:r>
            <w:r>
              <w:rPr>
                <w:b w:val="false"/>
                <w:bCs w:val="false"/>
                <w:i w:val="false"/>
                <w:iCs w:val="false"/>
              </w:rPr>
              <w:t xml:space="preserve">; </w:t>
            </w:r>
            <w:r>
              <w:rPr>
                <w:b w:val="false"/>
                <w:bCs w:val="false"/>
                <w:i w:val="false"/>
                <w:iCs w:val="false"/>
              </w:rPr>
              <w:t xml:space="preserve">Section </w:t>
            </w:r>
            <w:fldSimple w:instr="REF sec_6_2 \w \h">
              <w:r>
                <w:t xml:space="preserve">6.2</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9.1, 9.2 and 10.7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w:t>
            </w:r>
            <w:r>
              <w:rPr>
                <w:b w:val="false"/>
                <w:bCs w:val="false"/>
                <w:i w:val="false"/>
                <w:iCs w:val="false"/>
              </w:rPr>
              <w:t xml:space="preserve">System Architecture Section 9.5</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10.7</w:t>
            </w:r>
            <w:r>
              <w:rPr>
                <w:b w:val="false"/>
                <w:bCs w:val="false"/>
                <w:i w:val="false"/>
                <w:iCs w:val="false"/>
              </w:rPr>
              <w:t xml:space="preserve">; </w:t>
            </w:r>
            <w:r>
              <w:rPr>
                <w:b w:val="false"/>
                <w:bCs w:val="false"/>
                <w:i w:val="false"/>
                <w:iCs w:val="false"/>
              </w:rPr>
              <w:t xml:space="preserve">Section 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9.3 and 12.3</w:t>
            </w:r>
            <w:r>
              <w:rPr>
                <w:b w:val="false"/>
                <w:bCs w:val="false"/>
                <w:i w:val="false"/>
                <w:iCs w:val="false"/>
              </w:rPr>
              <w:t xml:space="preserve">; </w:t>
            </w:r>
            <w:r>
              <w:rPr>
                <w:b w:val="false"/>
                <w:bCs w:val="false"/>
                <w:i w:val="false"/>
                <w:iCs w:val="false"/>
              </w:rPr>
              <w:t xml:space="preserve">Section 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9_3 \w \h">
              <w:r>
                <w:t xml:space="preserve">9.3</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458"/>
            <w:tcMar>
              <w:top w:type="dxa" w:w="60"/>
              <w:left w:type="dxa" w:w="100"/>
              <w:bottom w:type="dxa" w:w="60"/>
              <w:right w:type="dxa" w:w="100"/>
            </w:tcMar>
          </w:tcPr>
          <w:p>
            <w:pPr>
              <w:spacing w:after="0" w:before="0"/>
            </w:pPr>
            <w:r>
              <w:rPr>
                <w:b w:val="false"/>
                <w:bCs w:val="false"/>
                <w:i w:val="false"/>
                <w:iCs w:val="false"/>
              </w:rPr>
              <w:t xml:space="preserve">ISO/IEC 27001 and ISO 9001: complies, certificates attached</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w:t>
            </w:r>
            <w:r>
              <w:rPr>
                <w:b w:val="false"/>
                <w:bCs w:val="false"/>
                <w:i w:val="false"/>
                <w:iCs w:val="false"/>
              </w:rPr>
              <w:t xml:space="preserve">System Architecture Section 10.8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10.4</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562"/>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562"/>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099a49541710f1332ff299646761b9f438d888.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2026-10-12T13:24:05.075Z</dcterms:created>
  <dcterms:modified xsi:type="dcterms:W3CDTF">2026-10-12T13:24:05.075Z</dcterms:modified>
</cp:coreProperties>
</file>

<file path=docProps/custom.xml><?xml version="1.0" encoding="utf-8"?>
<Properties xmlns="http://schemas.openxmlformats.org/officeDocument/2006/custom-properties" xmlns:vt="http://schemas.openxmlformats.org/officeDocument/2006/docPropsVTypes"/>
</file>