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2"/>
      <w:r>
        <w:rPr>
          <w:b w:val="false"/>
          <w:bCs w:val="false"/>
          <w:i w:val="false"/>
          <w:iCs w:val="false"/>
        </w:rPr>
        <w:t xml:space="preserve">cope of the sub-plans</w:t>
      </w:r>
      <w:bookmarkEnd w:id="2"/>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3"/>
      <w:r>
        <w:rPr>
          <w:b w:val="false"/>
          <w:bCs w:val="false"/>
          <w:i w:val="false"/>
          <w:iCs w:val="false"/>
        </w:rPr>
        <w:t xml:space="preserve">elivery approach</w:t>
      </w:r>
      <w:bookmarkEnd w:id="3"/>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4"/>
      <w:r>
        <w:rPr>
          <w:b w:val="false"/>
          <w:bCs w:val="false"/>
          <w:i w:val="false"/>
          <w:iCs w:val="false"/>
        </w:rPr>
        <w:t xml:space="preserve">mplementation Sub-Plan</w:t>
      </w:r>
      <w:bookmarkEnd w:id="4"/>
    </w:p>
    <w:p>
      <w:pPr>
        <w:pStyle w:val="Heading2"/>
        <w:numPr>
          <w:ilvl w:val="1"/>
          <w:numId w:val="2"/>
        </w:numPr>
        <w:spacing w:after="140" w:before="260"/>
      </w:pPr>
      <w:r>
        <w:t xml:space="preserve">M</w:t>
      </w:r>
      <w:bookmarkStart w:name="sec_2_1" w:id="5"/>
      <w:r>
        <w:rPr>
          <w:b w:val="false"/>
          <w:bCs w:val="false"/>
          <w:i w:val="false"/>
          <w:iCs w:val="false"/>
        </w:rPr>
        <w:t xml:space="preserve">ethodology and phases</w:t>
      </w:r>
      <w:bookmarkEnd w:id="5"/>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6"/>
      <w:r>
        <w:rPr>
          <w:b w:val="false"/>
          <w:bCs w:val="false"/>
          <w:i w:val="false"/>
          <w:iCs w:val="false"/>
        </w:rPr>
        <w:t xml:space="preserve">chedule</w:t>
      </w:r>
      <w:bookmarkEnd w:id="6"/>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7"/>
      <w:r>
        <w:rPr>
          <w:b w:val="false"/>
          <w:bCs w:val="false"/>
          <w:i w:val="false"/>
          <w:iCs w:val="false"/>
        </w:rPr>
        <w:t xml:space="preserve">iscovery and information gathering</w:t>
      </w:r>
      <w:bookmarkEnd w:id="7"/>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8"/>
      <w:r>
        <w:rPr>
          <w:b w:val="false"/>
          <w:bCs w:val="false"/>
          <w:i w:val="false"/>
          <w:iCs w:val="false"/>
        </w:rPr>
        <w:t xml:space="preserve">esign and process re-engineering</w:t>
      </w:r>
      <w:bookmarkEnd w:id="8"/>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9"/>
      <w:r>
        <w:rPr>
          <w:b w:val="false"/>
          <w:bCs w:val="false"/>
          <w:i w:val="false"/>
          <w:iCs w:val="false"/>
        </w:rPr>
        <w:t xml:space="preserve">uild, installation and integration</w:t>
      </w:r>
      <w:bookmarkEnd w:id="9"/>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0"/>
      <w:r>
        <w:rPr>
          <w:b w:val="false"/>
          <w:bCs w:val="false"/>
          <w:i w:val="false"/>
          <w:iCs w:val="false"/>
        </w:rPr>
        <w:t xml:space="preserve">ransition to production</w:t>
      </w:r>
      <w:bookmarkEnd w:id="10"/>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1"/>
      <w:r>
        <w:rPr>
          <w:b w:val="false"/>
          <w:bCs w:val="false"/>
          <w:i w:val="false"/>
          <w:iCs w:val="false"/>
        </w:rPr>
        <w:t xml:space="preserve">ependencies on the Purchaser and other parties</w:t>
      </w:r>
      <w:bookmarkEnd w:id="1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2"/>
      <w:r>
        <w:rPr>
          <w:b w:val="false"/>
          <w:bCs w:val="false"/>
          <w:i w:val="false"/>
          <w:iCs w:val="false"/>
        </w:rPr>
        <w:t xml:space="preserve">esponsibility assignment</w:t>
      </w:r>
      <w:bookmarkEnd w:id="12"/>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3"/>
      <w:r>
        <w:rPr>
          <w:b w:val="false"/>
          <w:bCs w:val="false"/>
          <w:i w:val="false"/>
          <w:iCs w:val="false"/>
        </w:rPr>
        <w:t xml:space="preserve">mplementation risks and mitigation</w:t>
      </w:r>
      <w:bookmarkEnd w:id="13"/>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4"/>
      <w:r>
        <w:rPr>
          <w:b w:val="false"/>
          <w:bCs w:val="false"/>
          <w:i w:val="false"/>
          <w:iCs w:val="false"/>
        </w:rPr>
        <w:t xml:space="preserve">ocumentation deliverables</w:t>
      </w:r>
      <w:bookmarkEnd w:id="14"/>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5"/>
      <w:r>
        <w:rPr>
          <w:b w:val="false"/>
          <w:bCs w:val="false"/>
          <w:i w:val="false"/>
          <w:iCs w:val="false"/>
        </w:rPr>
        <w:t xml:space="preserve">raining Sub-Plan</w:t>
      </w:r>
      <w:bookmarkEnd w:id="15"/>
    </w:p>
    <w:p>
      <w:pPr>
        <w:pStyle w:val="Heading2"/>
        <w:numPr>
          <w:ilvl w:val="1"/>
          <w:numId w:val="2"/>
        </w:numPr>
        <w:spacing w:after="140" w:before="260"/>
      </w:pPr>
      <w:r>
        <w:t xml:space="preserve">A</w:t>
      </w:r>
      <w:bookmarkStart w:name="sec_3_1" w:id="16"/>
      <w:r>
        <w:rPr>
          <w:b w:val="false"/>
          <w:bCs w:val="false"/>
          <w:i w:val="false"/>
          <w:iCs w:val="false"/>
        </w:rPr>
        <w:t xml:space="preserve">pproach and knowledge transfer</w:t>
      </w:r>
      <w:bookmarkEnd w:id="16"/>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7"/>
      <w:r>
        <w:rPr>
          <w:b w:val="false"/>
          <w:bCs w:val="false"/>
          <w:i w:val="false"/>
          <w:iCs w:val="false"/>
        </w:rPr>
        <w:t xml:space="preserve">ecommended trainees and prerequisites</w:t>
      </w:r>
      <w:bookmarkEnd w:id="17"/>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8"/>
      <w:r>
        <w:rPr>
          <w:b w:val="false"/>
          <w:bCs w:val="false"/>
          <w:i w:val="false"/>
          <w:iCs w:val="false"/>
        </w:rPr>
        <w:t xml:space="preserve">ser training</w:t>
      </w:r>
      <w:bookmarkEnd w:id="18"/>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9"/>
      <w:r>
        <w:rPr>
          <w:b w:val="false"/>
          <w:bCs w:val="false"/>
          <w:i w:val="false"/>
          <w:iCs w:val="false"/>
        </w:rPr>
        <w:t xml:space="preserve">echnical training</w:t>
      </w:r>
      <w:bookmarkEnd w:id="19"/>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20"/>
      <w:r>
        <w:rPr>
          <w:b w:val="false"/>
          <w:bCs w:val="false"/>
          <w:i w:val="false"/>
          <w:iCs w:val="false"/>
        </w:rPr>
        <w:t xml:space="preserve">anagement training</w:t>
      </w:r>
      <w:bookmarkEnd w:id="20"/>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21"/>
      <w:r>
        <w:rPr>
          <w:b w:val="false"/>
          <w:bCs w:val="false"/>
          <w:i w:val="false"/>
          <w:iCs w:val="false"/>
        </w:rPr>
        <w:t xml:space="preserve">chedule, location and training environment</w:t>
      </w:r>
      <w:bookmarkEnd w:id="2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22"/>
      <w:r>
        <w:rPr>
          <w:b w:val="false"/>
          <w:bCs w:val="false"/>
          <w:i w:val="false"/>
          <w:iCs w:val="false"/>
        </w:rPr>
        <w:t xml:space="preserve">ssessment, certification and operational independence</w:t>
      </w:r>
      <w:bookmarkEnd w:id="22"/>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23"/>
      <w:r>
        <w:rPr>
          <w:b w:val="false"/>
          <w:bCs w:val="false"/>
          <w:i w:val="false"/>
          <w:iCs w:val="false"/>
        </w:rPr>
        <w:t xml:space="preserve">upplier trainers and sample materials</w:t>
      </w:r>
      <w:bookmarkEnd w:id="23"/>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661"/>
        <w:gridCol w:w="44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661"/>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661"/>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469"/>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experience in secure ID card and secure document programs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digital certificates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322"/>
        <w:gridCol w:w="346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322"/>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468"/>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468"/>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468"/>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taking a laser station out of service between runs; assisting calibration</w:t>
            </w:r>
          </w:p>
        </w:tc>
        <w:tc>
          <w:tcPr>
            <w:tcW w:type="dxa" w:w="3468"/>
            <w:tcMar>
              <w:top w:type="dxa" w:w="60"/>
              <w:left w:type="dxa" w:w="100"/>
              <w:bottom w:type="dxa" w:w="60"/>
              <w:right w:type="dxa" w:w="100"/>
            </w:tcMar>
          </w:tcPr>
          <w:p>
            <w:pPr>
              <w:spacing w:after="0" w:before="0"/>
            </w:pPr>
            <w:r>
              <w:rPr>
                <w:b w:val="false"/>
                <w:bCs w:val="false"/>
                <w:i w:val="false"/>
                <w:iCs w:val="false"/>
              </w:rPr>
              <w:t xml:space="preserve">Take a station out of service at the end of a run, restart production with the job settings for the remaining stations, and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468"/>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42"/>
        <w:gridCol w:w="6578"/>
      </w:tblGrid>
      <w:tr>
        <w:trPr>
          <w:tblHeader/>
        </w:trPr>
        <w:tc>
          <w:tcPr>
            <w:tcW w:type="dxa" w:w="244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57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57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57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578"/>
            <w:tcMar>
              <w:top w:type="dxa" w:w="60"/>
              <w:left w:type="dxa" w:w="100"/>
              <w:bottom w:type="dxa" w:w="60"/>
              <w:right w:type="dxa" w:w="100"/>
            </w:tcMar>
          </w:tcPr>
          <w:p>
            <w:pPr>
              <w:spacing w:after="0" w:before="0"/>
            </w:pPr>
            <w:r>
              <w:rPr>
                <w:b w:val="false"/>
                <w:bCs w:val="false"/>
                <w:i w:val="false"/>
                <w:iCs w:val="false"/>
              </w:rPr>
              <w:t xml:space="preserve">The run is concluded, production resumes on the remaining stations or on the other line, and the event is reported to the supervisor</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57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57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57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57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24"/>
      <w:r>
        <w:rPr>
          <w:b w:val="false"/>
          <w:bCs w:val="false"/>
          <w:i w:val="false"/>
          <w:iCs w:val="false"/>
        </w:rPr>
        <w:t xml:space="preserve">esting and Quality Assurance Sub-Plan</w:t>
      </w:r>
      <w:bookmarkEnd w:id="24"/>
    </w:p>
    <w:p>
      <w:pPr>
        <w:pStyle w:val="Heading2"/>
        <w:numPr>
          <w:ilvl w:val="1"/>
          <w:numId w:val="2"/>
        </w:numPr>
        <w:spacing w:after="140" w:before="260"/>
      </w:pPr>
      <w:r>
        <w:t xml:space="preserve">T</w:t>
      </w:r>
      <w:bookmarkStart w:name="sec_4_1" w:id="25"/>
      <w:r>
        <w:rPr>
          <w:b w:val="false"/>
          <w:bCs w:val="false"/>
          <w:i w:val="false"/>
          <w:iCs w:val="false"/>
        </w:rPr>
        <w:t xml:space="preserve">est strategy and levels</w:t>
      </w:r>
      <w:bookmarkEnd w:id="25"/>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26"/>
      <w:r>
        <w:rPr>
          <w:b w:val="false"/>
          <w:bCs w:val="false"/>
          <w:i w:val="false"/>
          <w:iCs w:val="false"/>
        </w:rPr>
        <w:t xml:space="preserve">est environments and test data</w:t>
      </w:r>
      <w:bookmarkEnd w:id="2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27"/>
      <w:r>
        <w:rPr>
          <w:b w:val="false"/>
          <w:bCs w:val="false"/>
          <w:i w:val="false"/>
          <w:iCs w:val="false"/>
        </w:rPr>
        <w:t xml:space="preserve">actory acceptance testing</w:t>
      </w:r>
      <w:bookmarkEnd w:id="27"/>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The five stations, two for each face and one for the CLI. A station for one face is switched off and taken out of operation at the end of a run, and production resumes on the remaining stations once the job settings are reconfigured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28"/>
      <w:r>
        <w:rPr>
          <w:b w:val="false"/>
          <w:bCs w:val="false"/>
          <w:i w:val="false"/>
          <w:iCs w:val="false"/>
        </w:rPr>
        <w:t xml:space="preserve">ntegration and security testing</w:t>
      </w:r>
      <w:bookmarkEnd w:id="28"/>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29"/>
      <w:r>
        <w:rPr>
          <w:b w:val="false"/>
          <w:bCs w:val="false"/>
          <w:i w:val="false"/>
          <w:iCs w:val="false"/>
        </w:rPr>
        <w:t xml:space="preserve">re-commissioning tests</w:t>
      </w:r>
      <w:bookmarkEnd w:id="29"/>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30"/>
      <w:r>
        <w:rPr>
          <w:b w:val="false"/>
          <w:bCs w:val="false"/>
          <w:i w:val="false"/>
          <w:iCs w:val="false"/>
        </w:rPr>
        <w:t xml:space="preserve">perational acceptance tests</w:t>
      </w:r>
      <w:bookmarkEnd w:id="30"/>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31"/>
      <w:r>
        <w:rPr>
          <w:b w:val="false"/>
          <w:bCs w:val="false"/>
          <w:i w:val="false"/>
          <w:iCs w:val="false"/>
        </w:rPr>
        <w:t xml:space="preserve">efect management and quality assurance</w:t>
      </w:r>
      <w:bookmarkEnd w:id="3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32"/>
      <w:r>
        <w:rPr>
          <w:b w:val="false"/>
          <w:bCs w:val="false"/>
          <w:i w:val="false"/>
          <w:iCs w:val="false"/>
        </w:rPr>
        <w:t xml:space="preserve">arranty Defect Repair and Technical Support Service Sub-Plan</w:t>
      </w:r>
      <w:bookmarkEnd w:id="32"/>
    </w:p>
    <w:p>
      <w:pPr>
        <w:pStyle w:val="Heading2"/>
        <w:numPr>
          <w:ilvl w:val="1"/>
          <w:numId w:val="2"/>
        </w:numPr>
        <w:spacing w:after="140" w:before="260"/>
      </w:pPr>
      <w:r>
        <w:t xml:space="preserve">C</w:t>
      </w:r>
      <w:bookmarkStart w:name="sec_5_1" w:id="33"/>
      <w:r>
        <w:rPr>
          <w:b w:val="false"/>
          <w:bCs w:val="false"/>
          <w:i w:val="false"/>
          <w:iCs w:val="false"/>
        </w:rPr>
        <w:t xml:space="preserve">overage and periods</w:t>
      </w:r>
      <w:bookmarkEnd w:id="33"/>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34"/>
      <w:r>
        <w:rPr>
          <w:b w:val="false"/>
          <w:bCs w:val="false"/>
          <w:i w:val="false"/>
          <w:iCs w:val="false"/>
        </w:rPr>
        <w:t xml:space="preserve">upport organization and service desk</w:t>
      </w:r>
      <w:bookmarkEnd w:id="34"/>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35"/>
      <w:r>
        <w:rPr>
          <w:b w:val="false"/>
          <w:bCs w:val="false"/>
          <w:i w:val="false"/>
          <w:iCs w:val="false"/>
        </w:rPr>
        <w:t xml:space="preserve">ervice levels and performance indicators</w:t>
      </w:r>
      <w:bookmarkEnd w:id="35"/>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36"/>
      <w:r>
        <w:rPr>
          <w:b w:val="false"/>
          <w:bCs w:val="false"/>
          <w:i w:val="false"/>
          <w:iCs w:val="false"/>
        </w:rPr>
        <w:t xml:space="preserve">reventive and corrective maintenance</w:t>
      </w:r>
      <w:bookmarkEnd w:id="36"/>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76"/>
        <w:gridCol w:w="3528"/>
        <w:gridCol w:w="2616"/>
      </w:tblGrid>
      <w:tr>
        <w:trPr>
          <w:tblHeader/>
        </w:trPr>
        <w:tc>
          <w:tcPr>
            <w:tcW w:type="dxa" w:w="2876"/>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28"/>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16"/>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filtering system, feeders and card transport</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16"/>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28"/>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37"/>
      <w:r>
        <w:rPr>
          <w:b w:val="false"/>
          <w:bCs w:val="false"/>
          <w:i w:val="false"/>
          <w:iCs w:val="false"/>
        </w:rPr>
        <w:t xml:space="preserve">pare parts and consumables</w:t>
      </w:r>
      <w:bookmarkEnd w:id="37"/>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the filtering system,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the load balancers,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38"/>
      <w:r>
        <w:rPr>
          <w:b w:val="false"/>
          <w:bCs w:val="false"/>
          <w:i w:val="false"/>
          <w:iCs w:val="false"/>
        </w:rPr>
        <w:t xml:space="preserve">ervice reporting, review and handover</w:t>
      </w:r>
      <w:bookmarkEnd w:id="38"/>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39"/>
      <w:r>
        <w:rPr>
          <w:b w:val="false"/>
          <w:bCs w:val="false"/>
          <w:i w:val="false"/>
          <w:iCs w:val="false"/>
        </w:rPr>
        <w:t xml:space="preserve">nnex A. Licensing Bill of Materials</w:t>
      </w:r>
      <w:bookmarkEnd w:id="39"/>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Software, subscriptions and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2911"/>
        <w:gridCol w:w="2659"/>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911"/>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65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11"/>
            <w:tcMar>
              <w:top w:type="dxa" w:w="60"/>
              <w:left w:type="dxa" w:w="100"/>
              <w:bottom w:type="dxa" w:w="60"/>
              <w:right w:type="dxa" w:w="100"/>
            </w:tcMar>
          </w:tcPr>
          <w:p>
            <w:pPr>
              <w:spacing w:after="0" w:before="0"/>
            </w:pPr>
            <w:r>
              <w:rPr>
                <w:b w:val="false"/>
                <w:bCs w:val="false"/>
                <w:i w:val="false"/>
                <w:iCs w:val="false"/>
              </w:rPr>
              <w:t xml:space="preserve">144 core licenses: the 2 application hosts at the primary site and the host at the secondary site, each of two 24-core processors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server operating system and Hyper-V on those hosts, failover clustering of the application hosts, and every Windows Server virtual machine they run, including the domain controllers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11"/>
            <w:tcMar>
              <w:top w:type="dxa" w:w="60"/>
              <w:left w:type="dxa" w:w="100"/>
              <w:bottom w:type="dxa" w:w="60"/>
              <w:right w:type="dxa" w:w="100"/>
            </w:tcMar>
          </w:tcPr>
          <w:p>
            <w:pPr>
              <w:spacing w:after="0" w:before="0"/>
            </w:pPr>
            <w:r>
              <w:rPr>
                <w:b w:val="false"/>
                <w:bCs w:val="false"/>
                <w:i w:val="false"/>
                <w:iCs w:val="false"/>
              </w:rPr>
              <w:t xml:space="preserve">96 core licenses: the 2 database hosts at the primary site, each of two 24-core processors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server operating system and Hyper-V on the database hosts, failover clustering of the database hosts, and the database virtual machine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server, with client access licenses, and Software Assurance</w:t>
            </w:r>
          </w:p>
        </w:tc>
        <w:tc>
          <w:tcPr>
            <w:tcW w:type="dxa" w:w="2911"/>
            <w:tcMar>
              <w:top w:type="dxa" w:w="60"/>
              <w:left w:type="dxa" w:w="100"/>
              <w:bottom w:type="dxa" w:w="60"/>
              <w:right w:type="dxa" w:w="100"/>
            </w:tcMar>
          </w:tcPr>
          <w:p>
            <w:pPr>
              <w:spacing w:after="0" w:before="0"/>
            </w:pPr>
            <w:r>
              <w:rPr>
                <w:b w:val="false"/>
                <w:bCs w:val="false"/>
                <w:i w:val="false"/>
                <w:iCs w:val="false"/>
              </w:rPr>
              <w:t xml:space="preserve">One server license for the database virtual machine, with 120 client access licenses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production database. The secondary copy at the secondary site is covered by the failover rights of Software Assurance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670"/>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911"/>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265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911"/>
            <w:tcMar>
              <w:top w:type="dxa" w:w="60"/>
              <w:left w:type="dxa" w:w="100"/>
              <w:bottom w:type="dxa" w:w="60"/>
              <w:right w:type="dxa" w:w="100"/>
            </w:tcMar>
          </w:tcPr>
          <w:p>
            <w:pPr>
              <w:spacing w:after="0" w:before="0"/>
            </w:pPr>
            <w:r>
              <w:rPr>
                <w:b w:val="false"/>
                <w:bCs w:val="false"/>
                <w:i w:val="false"/>
                <w:iCs w:val="false"/>
              </w:rPr>
              <w:t xml:space="preserve">10</w:t>
            </w:r>
          </w:p>
        </w:tc>
        <w:tc>
          <w:tcPr>
            <w:tcW w:type="dxa" w:w="265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2911"/>
            <w:tcMar>
              <w:top w:type="dxa" w:w="60"/>
              <w:left w:type="dxa" w:w="100"/>
              <w:bottom w:type="dxa" w:w="60"/>
              <w:right w:type="dxa" w:w="100"/>
            </w:tcMar>
          </w:tcPr>
          <w:p>
            <w:pPr>
              <w:spacing w:after="0" w:before="0"/>
            </w:pPr>
            <w:r>
              <w:rPr>
                <w:b w:val="false"/>
                <w:bCs w:val="false"/>
                <w:i w:val="false"/>
                <w:iCs w:val="false"/>
              </w:rPr>
              <w:t xml:space="preserve">33: the 5 hosts; 18 virtual machines, being the 14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659"/>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2911"/>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659"/>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911"/>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659"/>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2911"/>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659"/>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1670"/>
            <w:tcMar>
              <w:top w:type="dxa" w:w="60"/>
              <w:left w:type="dxa" w:w="100"/>
              <w:bottom w:type="dxa" w:w="60"/>
              <w:right w:type="dxa" w:w="100"/>
            </w:tcMar>
          </w:tcPr>
          <w:p>
            <w:pPr>
              <w:spacing w:after="0" w:before="0"/>
            </w:pPr>
            <w:r>
              <w:rPr>
                <w:b w:val="false"/>
                <w:bCs w:val="false"/>
                <w:i w:val="false"/>
                <w:iCs w:val="false"/>
              </w:rPr>
              <w:t xml:space="preserve">Subscription, by monitored node and event volume</w:t>
            </w:r>
          </w:p>
        </w:tc>
        <w:tc>
          <w:tcPr>
            <w:tcW w:type="dxa" w:w="2911"/>
            <w:tcMar>
              <w:top w:type="dxa" w:w="60"/>
              <w:left w:type="dxa" w:w="100"/>
              <w:bottom w:type="dxa" w:w="60"/>
              <w:right w:type="dxa" w:w="100"/>
            </w:tcMar>
          </w:tcPr>
          <w:p>
            <w:pPr>
              <w:spacing w:after="0" w:before="0"/>
            </w:pPr>
            <w:r>
              <w:rPr>
                <w:b w:val="false"/>
                <w:bCs w:val="false"/>
                <w:i w:val="false"/>
                <w:iCs w:val="false"/>
              </w:rPr>
              <w:t xml:space="preserve">All infrastructure and application sources, and the full event volume of the estate</w:t>
            </w:r>
          </w:p>
        </w:tc>
        <w:tc>
          <w:tcPr>
            <w:tcW w:type="dxa" w:w="2659"/>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 and the collection and correlation of security events across all sources for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2911"/>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659"/>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instance</w:t>
            </w:r>
          </w:p>
        </w:tc>
        <w:tc>
          <w:tcPr>
            <w:tcW w:type="dxa" w:w="2911"/>
            <w:tcMar>
              <w:top w:type="dxa" w:w="60"/>
              <w:left w:type="dxa" w:w="100"/>
              <w:bottom w:type="dxa" w:w="60"/>
              <w:right w:type="dxa" w:w="100"/>
            </w:tcMar>
          </w:tcPr>
          <w:p>
            <w:pPr>
              <w:spacing w:after="0" w:before="0"/>
            </w:pPr>
            <w:r>
              <w:rPr>
                <w:b w:val="false"/>
                <w:bCs w:val="false"/>
                <w:i w:val="false"/>
                <w:iCs w:val="false"/>
              </w:rPr>
              <w:t xml:space="preserve">30 instances, covering the protected virtual machines at both sites, with configuration and audit logs, replicated to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67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2911"/>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2911"/>
            <w:tcMar>
              <w:top w:type="dxa" w:w="60"/>
              <w:left w:type="dxa" w:w="100"/>
              <w:bottom w:type="dxa" w:w="60"/>
              <w:right w:type="dxa" w:w="100"/>
            </w:tcMar>
          </w:tcPr>
          <w:p>
            <w:pPr>
              <w:spacing w:after="0" w:before="0"/>
            </w:pPr>
            <w:r>
              <w:rPr>
                <w:b w:val="false"/>
                <w:bCs w:val="false"/>
                <w:i w:val="false"/>
                <w:iCs w:val="false"/>
              </w:rPr>
              <w:t xml:space="preserve">The storage array, 5 switches, 2 firewalls and 2 load balancers at the primary site, and 1 switch, 1 firewall and 1 load balancer at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2911"/>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val="false"/>
          <w:bCs w:val="false"/>
          <w:i w:val="false"/>
          <w:iCs w:val="false"/>
        </w:rPr>
        <w:t xml:space="preserve">The application hosts and the secondary host carry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and the secondary host runs the ten virtual machines of the secondary environment. The database hosts carry Windows Server Standard, which licenses two Windows Server virtual machines on each fully licensed host, more than the one database virtual machine either host runs.</w:t>
      </w: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0"/>
        <w:gridCol w:w="5950"/>
      </w:tblGrid>
      <w:tr>
        <w:trPr>
          <w:tblHeader/>
        </w:trPr>
        <w:tc>
          <w:tcPr>
            <w:tcW w:type="dxa" w:w="3070"/>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50"/>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50"/>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(MDR / MSOC), bulk SMS service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multi-factor authentication, privileged access management</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5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 endpoint detection and response, vulnerability scanning</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5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Clustered database at the primary site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Standard, SQL Server Standard</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50"/>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6"/>
        <w:gridCol w:w="6214"/>
      </w:tblGrid>
      <w:tr>
        <w:trPr>
          <w:tblHeader/>
        </w:trPr>
        <w:tc>
          <w:tcPr>
            <w:tcW w:type="dxa" w:w="2806"/>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14"/>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Windows Server Datacenter and Standard</w:t>
            </w:r>
          </w:p>
        </w:tc>
        <w:tc>
          <w:tcPr>
            <w:tcW w:type="dxa" w:w="6214"/>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14"/>
            <w:tcMar>
              <w:top w:type="dxa" w:w="60"/>
              <w:left w:type="dxa" w:w="100"/>
              <w:bottom w:type="dxa" w:w="60"/>
              <w:right w:type="dxa" w:w="100"/>
            </w:tcMar>
          </w:tcPr>
          <w:p>
            <w:pPr>
              <w:spacing w:after="0" w:before="0"/>
            </w:pPr>
            <w:r>
              <w:rPr>
                <w:b w:val="false"/>
                <w:bCs w:val="false"/>
                <w:i w:val="false"/>
                <w:iCs w:val="false"/>
              </w:rPr>
              <w:t xml:space="preserve">Perpetual server license and 120 client access licenses, with Software Assurance for three years, providing updates, license mobility between the database hosts, and failover rights for the secondary copy</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Subscriptions: MDR / MSOC, security, operations, firewall, storage array and network device support, and the bulk SMS service</w:t>
            </w:r>
          </w:p>
        </w:tc>
        <w:tc>
          <w:tcPr>
            <w:tcW w:type="dxa" w:w="6214"/>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14"/>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14"/>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14"/>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2026-10-12T13:24:18.549Z</dcterms:created>
  <dcterms:modified xsi:type="dcterms:W3CDTF">2026-10-12T13:24:18.549Z</dcterms:modified>
</cp:coreProperties>
</file>

<file path=docProps/custom.xml><?xml version="1.0" encoding="utf-8"?>
<Properties xmlns="http://schemas.openxmlformats.org/officeDocument/2006/custom-properties" xmlns:vt="http://schemas.openxmlformats.org/officeDocument/2006/docPropsVTypes"/>
</file>