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B16ED">
      <w:pPr>
        <w:spacing w:before="1300"/>
        <w:jc w:val="center"/>
      </w:pPr>
      <w:r>
        <w:rPr>
          <w:rFonts w:ascii="Aptos Display" w:hAnsi="Aptos Display"/>
          <w:b/>
          <w:color w:val="0B3A63"/>
          <w:sz w:val="56"/>
        </w:rPr>
        <w:t>PROPOSED INFRASTRUCTURE</w:t>
      </w:r>
      <w:r>
        <w:rPr>
          <w:rFonts w:ascii="Aptos Display" w:hAnsi="Aptos Display"/>
          <w:b/>
          <w:color w:val="0B3A63"/>
          <w:sz w:val="56"/>
        </w:rPr>
        <w:br w:type="textWrapping"/>
      </w:r>
      <w:r>
        <w:rPr>
          <w:rFonts w:ascii="Aptos Display" w:hAnsi="Aptos Display"/>
          <w:b/>
          <w:color w:val="0B3A63"/>
          <w:sz w:val="56"/>
        </w:rPr>
        <w:t>SOLUTION</w:t>
      </w:r>
    </w:p>
    <w:p w14:paraId="18386EED">
      <w:pPr>
        <w:jc w:val="center"/>
      </w:pPr>
      <w:r>
        <w:rPr>
          <w:b/>
          <w:color w:val="1F6FAE"/>
          <w:sz w:val="28"/>
        </w:rPr>
        <w:t>2-Node Hyper-V Failover Cluster • Shared SAN • Redundant Network • DR Site • Veeam Backup</w:t>
      </w:r>
    </w:p>
    <w:p w14:paraId="188F685B"/>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7D978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0B3A63"/>
            <w:vAlign w:val="center"/>
          </w:tcPr>
          <w:p w14:paraId="0550ABDD">
            <w:pPr>
              <w:spacing w:after="0" w:line="240" w:lineRule="auto"/>
            </w:pPr>
            <w:r>
              <w:rPr>
                <w:rFonts w:ascii="Aptos" w:hAnsi="Aptos"/>
                <w:b/>
                <w:color w:val="FFFFFF"/>
                <w:sz w:val="18"/>
              </w:rPr>
              <w:t>Project</w:t>
            </w:r>
          </w:p>
        </w:tc>
        <w:tc>
          <w:tcPr>
            <w:tcW w:w="5083" w:type="dxa"/>
            <w:vAlign w:val="center"/>
          </w:tcPr>
          <w:p w14:paraId="1845F4DE">
            <w:pPr>
              <w:spacing w:after="0" w:line="240" w:lineRule="auto"/>
            </w:pPr>
            <w:r>
              <w:rPr>
                <w:rFonts w:ascii="Aptos" w:hAnsi="Aptos"/>
                <w:b w:val="0"/>
                <w:sz w:val="18"/>
              </w:rPr>
              <w:t>Digital Malawi Acceleration Project – Central Printing Facility</w:t>
            </w:r>
          </w:p>
        </w:tc>
      </w:tr>
      <w:tr w14:paraId="535D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0B3A63"/>
            <w:vAlign w:val="center"/>
          </w:tcPr>
          <w:p w14:paraId="5FFA77EB">
            <w:pPr>
              <w:spacing w:after="0" w:line="240" w:lineRule="auto"/>
            </w:pPr>
            <w:r>
              <w:rPr>
                <w:rFonts w:ascii="Aptos" w:hAnsi="Aptos"/>
                <w:b/>
                <w:color w:val="FFFFFF"/>
                <w:sz w:val="18"/>
              </w:rPr>
              <w:t>Reference</w:t>
            </w:r>
          </w:p>
        </w:tc>
        <w:tc>
          <w:tcPr>
            <w:tcW w:w="5083" w:type="dxa"/>
            <w:vAlign w:val="center"/>
          </w:tcPr>
          <w:p w14:paraId="528358D3">
            <w:pPr>
              <w:spacing w:after="0" w:line="240" w:lineRule="auto"/>
            </w:pPr>
            <w:r>
              <w:rPr>
                <w:rFonts w:ascii="Aptos" w:hAnsi="Aptos"/>
                <w:b w:val="0"/>
                <w:sz w:val="18"/>
              </w:rPr>
              <w:t>RFP No. MW-PPPC-546386-GO-RFB</w:t>
            </w:r>
          </w:p>
        </w:tc>
      </w:tr>
      <w:tr w14:paraId="06A7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0B3A63"/>
            <w:vAlign w:val="center"/>
          </w:tcPr>
          <w:p w14:paraId="619CFBB0">
            <w:pPr>
              <w:spacing w:after="0" w:line="240" w:lineRule="auto"/>
            </w:pPr>
            <w:r>
              <w:rPr>
                <w:rFonts w:ascii="Aptos" w:hAnsi="Aptos"/>
                <w:b/>
                <w:color w:val="FFFFFF"/>
                <w:sz w:val="18"/>
              </w:rPr>
              <w:t>Solution Scope</w:t>
            </w:r>
          </w:p>
        </w:tc>
        <w:tc>
          <w:tcPr>
            <w:tcW w:w="5083" w:type="dxa"/>
            <w:vAlign w:val="center"/>
          </w:tcPr>
          <w:p w14:paraId="57219040">
            <w:pPr>
              <w:spacing w:after="0" w:line="240" w:lineRule="auto"/>
            </w:pPr>
            <w:r>
              <w:rPr>
                <w:rFonts w:ascii="Aptos" w:hAnsi="Aptos"/>
                <w:b w:val="0"/>
                <w:sz w:val="18"/>
              </w:rPr>
              <w:t>Primary site infrastructure, DR infrastructure, network, storage, backup and recovery</w:t>
            </w:r>
          </w:p>
        </w:tc>
      </w:tr>
      <w:tr w14:paraId="22756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0B3A63"/>
            <w:vAlign w:val="center"/>
          </w:tcPr>
          <w:p w14:paraId="072E2151">
            <w:pPr>
              <w:spacing w:after="0" w:line="240" w:lineRule="auto"/>
            </w:pPr>
            <w:r>
              <w:rPr>
                <w:rFonts w:ascii="Aptos" w:hAnsi="Aptos"/>
                <w:b/>
                <w:color w:val="FFFFFF"/>
                <w:sz w:val="18"/>
              </w:rPr>
              <w:t>Document Status</w:t>
            </w:r>
          </w:p>
        </w:tc>
        <w:tc>
          <w:tcPr>
            <w:tcW w:w="5083" w:type="dxa"/>
            <w:vAlign w:val="center"/>
          </w:tcPr>
          <w:p w14:paraId="19404BBF">
            <w:pPr>
              <w:spacing w:after="0" w:line="240" w:lineRule="auto"/>
            </w:pPr>
            <w:r>
              <w:rPr>
                <w:rFonts w:ascii="Aptos" w:hAnsi="Aptos"/>
                <w:b w:val="0"/>
                <w:sz w:val="18"/>
              </w:rPr>
              <w:t>High-Level Technical Solution / Tender Design Basis</w:t>
            </w:r>
          </w:p>
        </w:tc>
      </w:tr>
      <w:tr w14:paraId="3EB7B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0B3A63"/>
            <w:vAlign w:val="center"/>
          </w:tcPr>
          <w:p w14:paraId="18995F95">
            <w:pPr>
              <w:spacing w:after="0" w:line="240" w:lineRule="auto"/>
            </w:pPr>
            <w:r>
              <w:rPr>
                <w:rFonts w:ascii="Aptos" w:hAnsi="Aptos"/>
                <w:b/>
                <w:color w:val="FFFFFF"/>
                <w:sz w:val="18"/>
              </w:rPr>
              <w:t>Date</w:t>
            </w:r>
          </w:p>
        </w:tc>
        <w:tc>
          <w:tcPr>
            <w:tcW w:w="5083" w:type="dxa"/>
            <w:vAlign w:val="center"/>
          </w:tcPr>
          <w:p w14:paraId="324FE4AA">
            <w:pPr>
              <w:spacing w:after="0" w:line="240" w:lineRule="auto"/>
            </w:pPr>
            <w:r>
              <w:rPr>
                <w:rFonts w:ascii="Aptos" w:hAnsi="Aptos"/>
                <w:b w:val="0"/>
                <w:sz w:val="18"/>
              </w:rPr>
              <w:t>26 September 2026</w:t>
            </w:r>
          </w:p>
        </w:tc>
      </w:tr>
    </w:tbl>
    <w:p w14:paraId="14E47A05"/>
    <w:p w14:paraId="22FDCD5A">
      <w:pPr>
        <w:jc w:val="center"/>
      </w:pPr>
      <w:r>
        <w:rPr>
          <w:i/>
          <w:color w:val="5B6573"/>
          <w:sz w:val="20"/>
        </w:rPr>
        <w:t>Design principle: no single infrastructure component should prevent operation of critical production services where redundancy is technically and commercially justified.</w:t>
      </w:r>
    </w:p>
    <w:p w14:paraId="68154C03">
      <w:r>
        <w:br w:type="page"/>
      </w:r>
    </w:p>
    <w:p w14:paraId="73585A69">
      <w:pPr>
        <w:pStyle w:val="2"/>
      </w:pPr>
      <w:r>
        <w:t>1. Executive Summary</w:t>
      </w:r>
    </w:p>
    <w:p w14:paraId="16253113">
      <w:r>
        <w:t>This document presents a high-level infrastructure solution for the Central Printing Facility, based on the architectural, availability, security, backup and disaster-recovery requirements contained in Section VII of the RFP. The proposed design uses a two-node Microsoft Hyper-V failover cluster at the Primary Site with shared dual-controller SAN storage, redundant Layer-3 core switching, segmented VLANs, a protected DMZ, a dedicated backup platform and a secondary Disaster Recovery (DR) environment.</w:t>
      </w:r>
    </w:p>
    <w:p w14:paraId="68961673">
      <w:r>
        <w:t>The design is intended to provide high availability for server workloads at the production site while also providing site-level resilience through replication to the DR site. Veeam Backup &amp; Replication is proposed as the central data-protection platform for Hyper-V backup, application-aware recovery, VM replication, off-site backup copy, recovery verification and immutable backup storage.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6"/>
      </w:tblGrid>
      <w:tr w14:paraId="4E886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66" w:type="dxa"/>
            <w:shd w:val="clear" w:color="auto" w:fill="EAF3F8"/>
            <w:vAlign w:val="center"/>
          </w:tcPr>
          <w:p w14:paraId="5C4CB658">
            <w:pPr>
              <w:spacing w:after="0" w:line="240" w:lineRule="auto"/>
            </w:pPr>
            <w:r>
              <w:rPr>
                <w:rFonts w:ascii="Aptos" w:hAnsi="Aptos"/>
                <w:b w:val="0"/>
                <w:color w:val="0B3A63"/>
                <w:sz w:val="17"/>
              </w:rPr>
              <w:t>Important sizing note: the RFP defines architectural, availability and performance outcomes but does not prescribe exact server CPU/RAM, SAN capacity or switch models. Quantities and capacities in this document are therefore preliminary design assumptions and must be finalized after the application vendor provides the VM, database, IOPS, capacity, growth and retention requirements.</w:t>
            </w:r>
          </w:p>
        </w:tc>
      </w:tr>
    </w:tbl>
    <w:p w14:paraId="10D7ACD5">
      <w:pPr>
        <w:spacing w:after="20"/>
      </w:pPr>
    </w:p>
    <w:p w14:paraId="29C754E9">
      <w:pPr>
        <w:pStyle w:val="3"/>
      </w:pPr>
      <w:r>
        <w:t>1.1 Key Design Outcomes</w:t>
      </w:r>
    </w:p>
    <w:p w14:paraId="5C3EB655">
      <w:pPr>
        <w:pStyle w:val="23"/>
        <w:spacing w:after="40"/>
      </w:pPr>
      <w:r>
        <w:t>Primary Site: two-node Hyper-V failover cluster with shared enterprise SAN.</w:t>
      </w:r>
    </w:p>
    <w:p w14:paraId="7AE2C60F">
      <w:pPr>
        <w:pStyle w:val="23"/>
        <w:spacing w:after="40"/>
      </w:pPr>
      <w:r>
        <w:t>DR Site: two-node Hyper-V failover cluster with independent shared SAN for critical workload recovery.</w:t>
      </w:r>
    </w:p>
    <w:p w14:paraId="4C13CE20">
      <w:pPr>
        <w:pStyle w:val="23"/>
        <w:spacing w:after="40"/>
      </w:pPr>
      <w:r>
        <w:t>Redundant core switching at both sites to remove the core switch as a single point of failure.</w:t>
      </w:r>
    </w:p>
    <w:p w14:paraId="550F399D">
      <w:pPr>
        <w:pStyle w:val="23"/>
        <w:spacing w:after="40"/>
      </w:pPr>
      <w:r>
        <w:t>Dedicated logical networks for management, cluster, storage, applications, database, machine control, users, backup and DMZ.</w:t>
      </w:r>
    </w:p>
    <w:p w14:paraId="79339201">
      <w:pPr>
        <w:pStyle w:val="23"/>
        <w:spacing w:after="40"/>
      </w:pPr>
      <w:r>
        <w:t>Veeam-based backup and replication with an immutable backup repository and off-site copy.</w:t>
      </w:r>
    </w:p>
    <w:p w14:paraId="318C8FB2">
      <w:pPr>
        <w:pStyle w:val="23"/>
        <w:spacing w:after="40"/>
      </w:pPr>
      <w:r>
        <w:t>Encrypted inter-site replication over MPLS/SD-WAN or secure VPN, subject to available WAN service.</w:t>
      </w:r>
    </w:p>
    <w:p w14:paraId="5DF81E67">
      <w:pPr>
        <w:pStyle w:val="23"/>
        <w:spacing w:after="40"/>
      </w:pPr>
      <w:r>
        <w:t>Operational procedures for backup, restore, planned failover, emergency failover and DR testing.</w:t>
      </w:r>
    </w:p>
    <w:p w14:paraId="4042AEED">
      <w:pPr>
        <w:pStyle w:val="3"/>
      </w:pPr>
      <w:r>
        <w:t>1.2 RFP Requirements Addressed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6768"/>
      </w:tblGrid>
      <w:tr w14:paraId="7035E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0B3A63"/>
            <w:vAlign w:val="center"/>
          </w:tcPr>
          <w:p w14:paraId="21C3DB5B">
            <w:pPr>
              <w:spacing w:after="0" w:line="240" w:lineRule="auto"/>
            </w:pPr>
            <w:r>
              <w:rPr>
                <w:rFonts w:ascii="Aptos" w:hAnsi="Aptos"/>
                <w:b/>
                <w:color w:val="FFFFFF"/>
                <w:sz w:val="17"/>
              </w:rPr>
              <w:t>RFP Requirement</w:t>
            </w:r>
          </w:p>
        </w:tc>
        <w:tc>
          <w:tcPr>
            <w:tcW w:w="6768" w:type="dxa"/>
            <w:shd w:val="clear" w:color="auto" w:fill="0B3A63"/>
            <w:vAlign w:val="center"/>
          </w:tcPr>
          <w:p w14:paraId="52648AC4">
            <w:pPr>
              <w:spacing w:after="0" w:line="240" w:lineRule="auto"/>
            </w:pPr>
            <w:r>
              <w:rPr>
                <w:rFonts w:ascii="Aptos" w:hAnsi="Aptos"/>
                <w:b/>
                <w:color w:val="FFFFFF"/>
                <w:sz w:val="17"/>
              </w:rPr>
              <w:t>Proposed Response</w:t>
            </w:r>
          </w:p>
        </w:tc>
      </w:tr>
      <w:tr w14:paraId="2C27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5047596">
            <w:pPr>
              <w:spacing w:after="0" w:line="240" w:lineRule="auto"/>
            </w:pPr>
            <w:r>
              <w:rPr>
                <w:rFonts w:ascii="Aptos" w:hAnsi="Aptos"/>
                <w:b w:val="0"/>
                <w:sz w:val="16"/>
              </w:rPr>
              <w:t>Secure, scalable, redundant enterprise-grade hardware</w:t>
            </w:r>
          </w:p>
        </w:tc>
        <w:tc>
          <w:tcPr>
            <w:tcW w:w="6768" w:type="dxa"/>
            <w:vAlign w:val="center"/>
          </w:tcPr>
          <w:p w14:paraId="3041AD80">
            <w:pPr>
              <w:spacing w:after="0" w:line="240" w:lineRule="auto"/>
            </w:pPr>
            <w:r>
              <w:rPr>
                <w:rFonts w:ascii="Aptos" w:hAnsi="Aptos"/>
                <w:b w:val="0"/>
                <w:sz w:val="16"/>
              </w:rPr>
              <w:t>Redundant compute, dual-controller SAN, dual core switches, multipath storage and dual power paths.</w:t>
            </w:r>
          </w:p>
        </w:tc>
      </w:tr>
      <w:tr w14:paraId="46CBD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7F9FB"/>
            <w:vAlign w:val="center"/>
          </w:tcPr>
          <w:p w14:paraId="75311167">
            <w:pPr>
              <w:spacing w:after="0" w:line="240" w:lineRule="auto"/>
            </w:pPr>
            <w:r>
              <w:rPr>
                <w:rFonts w:ascii="Aptos" w:hAnsi="Aptos"/>
                <w:b w:val="0"/>
                <w:sz w:val="16"/>
              </w:rPr>
              <w:t>Active-passive / active-active clustering and automated failover</w:t>
            </w:r>
          </w:p>
        </w:tc>
        <w:tc>
          <w:tcPr>
            <w:tcW w:w="6768" w:type="dxa"/>
            <w:shd w:val="clear" w:color="auto" w:fill="F7F9FB"/>
            <w:vAlign w:val="center"/>
          </w:tcPr>
          <w:p w14:paraId="1613AB5E">
            <w:pPr>
              <w:spacing w:after="0" w:line="240" w:lineRule="auto"/>
            </w:pPr>
            <w:r>
              <w:rPr>
                <w:rFonts w:ascii="Aptos" w:hAnsi="Aptos"/>
                <w:b w:val="0"/>
                <w:sz w:val="16"/>
              </w:rPr>
              <w:t>Windows Server Failover Clustering with Hyper-V clustered workloads.</w:t>
            </w:r>
          </w:p>
        </w:tc>
      </w:tr>
      <w:tr w14:paraId="63884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5F59B7C">
            <w:pPr>
              <w:spacing w:after="0" w:line="240" w:lineRule="auto"/>
            </w:pPr>
            <w:r>
              <w:rPr>
                <w:rFonts w:ascii="Aptos" w:hAnsi="Aptos"/>
                <w:b w:val="0"/>
                <w:sz w:val="16"/>
              </w:rPr>
              <w:t>Primary and secondary DR environments</w:t>
            </w:r>
          </w:p>
        </w:tc>
        <w:tc>
          <w:tcPr>
            <w:tcW w:w="6768" w:type="dxa"/>
            <w:vAlign w:val="center"/>
          </w:tcPr>
          <w:p w14:paraId="44A0C084">
            <w:pPr>
              <w:spacing w:after="0" w:line="240" w:lineRule="auto"/>
            </w:pPr>
            <w:r>
              <w:rPr>
                <w:rFonts w:ascii="Aptos" w:hAnsi="Aptos"/>
                <w:b w:val="0"/>
                <w:sz w:val="16"/>
              </w:rPr>
              <w:t>Independent Primary and DR virtualization/storage stacks.</w:t>
            </w:r>
          </w:p>
        </w:tc>
      </w:tr>
      <w:tr w14:paraId="4D4CE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7F9FB"/>
            <w:vAlign w:val="center"/>
          </w:tcPr>
          <w:p w14:paraId="54B30AFC">
            <w:pPr>
              <w:spacing w:after="0" w:line="240" w:lineRule="auto"/>
            </w:pPr>
            <w:r>
              <w:rPr>
                <w:rFonts w:ascii="Aptos" w:hAnsi="Aptos"/>
                <w:b w:val="0"/>
                <w:sz w:val="16"/>
              </w:rPr>
              <w:t>Backup replication and off-site backup</w:t>
            </w:r>
          </w:p>
        </w:tc>
        <w:tc>
          <w:tcPr>
            <w:tcW w:w="6768" w:type="dxa"/>
            <w:shd w:val="clear" w:color="auto" w:fill="F7F9FB"/>
            <w:vAlign w:val="center"/>
          </w:tcPr>
          <w:p w14:paraId="240421DF">
            <w:pPr>
              <w:spacing w:after="0" w:line="240" w:lineRule="auto"/>
            </w:pPr>
            <w:r>
              <w:rPr>
                <w:rFonts w:ascii="Aptos" w:hAnsi="Aptos"/>
                <w:b w:val="0"/>
                <w:sz w:val="16"/>
              </w:rPr>
              <w:t>Veeam backup copy / replication to DR repository.</w:t>
            </w:r>
          </w:p>
        </w:tc>
      </w:tr>
      <w:tr w14:paraId="0BBF0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6192852">
            <w:pPr>
              <w:spacing w:after="0" w:line="240" w:lineRule="auto"/>
            </w:pPr>
            <w:r>
              <w:rPr>
                <w:rFonts w:ascii="Aptos" w:hAnsi="Aptos"/>
                <w:b w:val="0"/>
                <w:sz w:val="16"/>
              </w:rPr>
              <w:t>Immutable backup storage</w:t>
            </w:r>
          </w:p>
        </w:tc>
        <w:tc>
          <w:tcPr>
            <w:tcW w:w="6768" w:type="dxa"/>
            <w:vAlign w:val="center"/>
          </w:tcPr>
          <w:p w14:paraId="6C666130">
            <w:pPr>
              <w:spacing w:after="0" w:line="240" w:lineRule="auto"/>
            </w:pPr>
            <w:r>
              <w:rPr>
                <w:rFonts w:ascii="Aptos" w:hAnsi="Aptos"/>
                <w:b w:val="0"/>
                <w:sz w:val="16"/>
              </w:rPr>
              <w:t>Veeam hardened/immutable repository or immutable object storage.</w:t>
            </w:r>
          </w:p>
        </w:tc>
      </w:tr>
      <w:tr w14:paraId="0F3F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7F9FB"/>
            <w:vAlign w:val="center"/>
          </w:tcPr>
          <w:p w14:paraId="26F842F9">
            <w:pPr>
              <w:spacing w:after="0" w:line="240" w:lineRule="auto"/>
            </w:pPr>
            <w:r>
              <w:rPr>
                <w:rFonts w:ascii="Aptos" w:hAnsi="Aptos"/>
                <w:b w:val="0"/>
                <w:sz w:val="16"/>
              </w:rPr>
              <w:t>Point-in-time and granular recovery</w:t>
            </w:r>
          </w:p>
        </w:tc>
        <w:tc>
          <w:tcPr>
            <w:tcW w:w="6768" w:type="dxa"/>
            <w:shd w:val="clear" w:color="auto" w:fill="F7F9FB"/>
            <w:vAlign w:val="center"/>
          </w:tcPr>
          <w:p w14:paraId="06281D9E">
            <w:pPr>
              <w:spacing w:after="0" w:line="240" w:lineRule="auto"/>
            </w:pPr>
            <w:r>
              <w:rPr>
                <w:rFonts w:ascii="Aptos" w:hAnsi="Aptos"/>
                <w:b w:val="0"/>
                <w:sz w:val="16"/>
              </w:rPr>
              <w:t>Application-aware Veeam backup and supported item/file/VM restore workflows.</w:t>
            </w:r>
          </w:p>
        </w:tc>
      </w:tr>
      <w:tr w14:paraId="2D5F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9078EBA">
            <w:pPr>
              <w:spacing w:after="0" w:line="240" w:lineRule="auto"/>
            </w:pPr>
            <w:r>
              <w:rPr>
                <w:rFonts w:ascii="Aptos" w:hAnsi="Aptos"/>
                <w:b w:val="0"/>
                <w:sz w:val="16"/>
              </w:rPr>
              <w:t>VLAN segmentation and firewall isolation</w:t>
            </w:r>
          </w:p>
        </w:tc>
        <w:tc>
          <w:tcPr>
            <w:tcW w:w="6768" w:type="dxa"/>
            <w:vAlign w:val="center"/>
          </w:tcPr>
          <w:p w14:paraId="7E3C60DE">
            <w:pPr>
              <w:spacing w:after="0" w:line="240" w:lineRule="auto"/>
            </w:pPr>
            <w:r>
              <w:rPr>
                <w:rFonts w:ascii="Aptos" w:hAnsi="Aptos"/>
                <w:b w:val="0"/>
                <w:sz w:val="16"/>
              </w:rPr>
              <w:t>Dedicated security zones/VLANs with NGFW policy enforcement.</w:t>
            </w:r>
          </w:p>
        </w:tc>
      </w:tr>
      <w:tr w14:paraId="7BF2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7F9FB"/>
            <w:vAlign w:val="center"/>
          </w:tcPr>
          <w:p w14:paraId="359FE617">
            <w:pPr>
              <w:spacing w:after="0" w:line="240" w:lineRule="auto"/>
            </w:pPr>
            <w:r>
              <w:rPr>
                <w:rFonts w:ascii="Aptos" w:hAnsi="Aptos"/>
                <w:b w:val="0"/>
                <w:sz w:val="16"/>
              </w:rPr>
              <w:t>DR synchronization</w:t>
            </w:r>
          </w:p>
        </w:tc>
        <w:tc>
          <w:tcPr>
            <w:tcW w:w="6768" w:type="dxa"/>
            <w:shd w:val="clear" w:color="auto" w:fill="F7F9FB"/>
            <w:vAlign w:val="center"/>
          </w:tcPr>
          <w:p w14:paraId="35ED6AE3">
            <w:pPr>
              <w:spacing w:after="0" w:line="240" w:lineRule="auto"/>
            </w:pPr>
            <w:r>
              <w:rPr>
                <w:rFonts w:ascii="Aptos" w:hAnsi="Aptos"/>
                <w:b w:val="0"/>
                <w:sz w:val="16"/>
              </w:rPr>
              <w:t>VM/storage/data replication according to workload criticality and supported application design.</w:t>
            </w:r>
          </w:p>
        </w:tc>
      </w:tr>
      <w:tr w14:paraId="7A44E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0B95182">
            <w:pPr>
              <w:spacing w:after="0" w:line="240" w:lineRule="auto"/>
            </w:pPr>
            <w:r>
              <w:rPr>
                <w:rFonts w:ascii="Aptos" w:hAnsi="Aptos"/>
                <w:b w:val="0"/>
                <w:sz w:val="16"/>
              </w:rPr>
              <w:t>RTO/RPO definition and DR testing</w:t>
            </w:r>
          </w:p>
        </w:tc>
        <w:tc>
          <w:tcPr>
            <w:tcW w:w="6768" w:type="dxa"/>
            <w:vAlign w:val="center"/>
          </w:tcPr>
          <w:p w14:paraId="11DF1DF8">
            <w:pPr>
              <w:spacing w:after="0" w:line="240" w:lineRule="auto"/>
            </w:pPr>
            <w:r>
              <w:rPr>
                <w:rFonts w:ascii="Aptos" w:hAnsi="Aptos"/>
                <w:b w:val="0"/>
                <w:sz w:val="16"/>
              </w:rPr>
              <w:t>Service tiers, runbooks, scheduled restore testing and annual/semi-annual DR drills.</w:t>
            </w:r>
          </w:p>
        </w:tc>
      </w:tr>
    </w:tbl>
    <w:p w14:paraId="476E61F1">
      <w:pPr>
        <w:spacing w:after="20"/>
      </w:pPr>
    </w:p>
    <w:p w14:paraId="6716367B">
      <w:r>
        <w:br w:type="page"/>
      </w:r>
    </w:p>
    <w:p w14:paraId="1633DEE9">
      <w:pPr>
        <w:pStyle w:val="2"/>
      </w:pPr>
      <w:r>
        <w:t>2. Proposed High-Level Architecture</w:t>
      </w:r>
    </w:p>
    <w:p w14:paraId="7D32296F">
      <w:r>
        <w:t>The following detailed architecture separates production, DR and backup functions while preserving redundant paths between compute, network and storage layers. Application, database, API/integration, reverse proxy, monitoring, management tools and the Veeam Backup Server are virtual machines hosted by the Hyper-V clusters. Backup repositories are deliberately kept on separate physical infrastructure so that backup data does not share the same production storage failure domain.</w:t>
      </w:r>
    </w:p>
    <w:p w14:paraId="7B08B9A0">
      <w:pPr>
        <w:jc w:val="center"/>
      </w:pPr>
      <w:r>
        <w:drawing>
          <wp:inline distT="0" distB="0" distL="114300" distR="114300">
            <wp:extent cx="6446520" cy="4297680"/>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446520" cy="4297680"/>
                    </a:xfrm>
                    <a:prstGeom prst="rect">
                      <a:avLst/>
                    </a:prstGeom>
                  </pic:spPr>
                </pic:pic>
              </a:graphicData>
            </a:graphic>
          </wp:inline>
        </w:drawing>
      </w:r>
    </w:p>
    <w:p w14:paraId="546DFA75">
      <w:pPr>
        <w:pStyle w:val="164"/>
        <w:jc w:val="center"/>
      </w:pPr>
      <w:r>
        <w:t>Figure 1 - Detailed Primary Site, DR Site, VM Placement and Veeam Backup Architecture</w:t>
      </w:r>
    </w:p>
    <w:p w14:paraId="272E85CA">
      <w:pPr>
        <w:pStyle w:val="3"/>
      </w:pPr>
      <w:r>
        <w:t>2.1 Logical Traffic Flow</w:t>
      </w:r>
    </w:p>
    <w:p w14:paraId="19D3D89F">
      <w:pPr>
        <w:pStyle w:val="23"/>
        <w:spacing w:after="40"/>
      </w:pPr>
      <w:r>
        <w:t>External NRIS/WAN traffic enters through the perimeter security layer and is allowed only to approved integration or DMZ services.</w:t>
      </w:r>
    </w:p>
    <w:p w14:paraId="66FDEEB2">
      <w:pPr>
        <w:pStyle w:val="23"/>
        <w:spacing w:after="40"/>
      </w:pPr>
      <w:r>
        <w:t>Application, database and machine-control networks remain segmented from user and external zones.</w:t>
      </w:r>
    </w:p>
    <w:p w14:paraId="2725C073">
      <w:pPr>
        <w:pStyle w:val="23"/>
        <w:spacing w:after="40"/>
      </w:pPr>
      <w:r>
        <w:t>Each Hyper-V node connects redundantly to both core switches and to both SAN controllers.</w:t>
      </w:r>
    </w:p>
    <w:p w14:paraId="7F21ADCC">
      <w:pPr>
        <w:pStyle w:val="23"/>
        <w:spacing w:after="40"/>
      </w:pPr>
      <w:r>
        <w:t>Cluster heartbeat/live migration, storage, management and production traffic are logically separated.</w:t>
      </w:r>
    </w:p>
    <w:p w14:paraId="57AA8BC2">
      <w:pPr>
        <w:pStyle w:val="23"/>
        <w:spacing w:after="40"/>
      </w:pPr>
      <w:r>
        <w:t>Critical VMs are protected locally by failover clustering and protected against site failure by replication to the DR site.</w:t>
      </w:r>
    </w:p>
    <w:p w14:paraId="1BEE3042">
      <w:pPr>
        <w:pStyle w:val="23"/>
        <w:spacing w:after="40"/>
      </w:pPr>
      <w:r>
        <w:t>Backup traffic uses a dedicated backup VLAN and repository rather than relying only on production storage snapshots.</w:t>
      </w:r>
    </w:p>
    <w:p w14:paraId="5038AB2B">
      <w:pPr>
        <w:pStyle w:val="3"/>
      </w:pPr>
      <w:r>
        <w:t>2.2 Availability Domains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4032"/>
        <w:gridCol w:w="3744"/>
      </w:tblGrid>
      <w:tr w14:paraId="0B331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0B3A63"/>
            <w:vAlign w:val="center"/>
          </w:tcPr>
          <w:p w14:paraId="2129AD9F">
            <w:pPr>
              <w:spacing w:after="0" w:line="240" w:lineRule="auto"/>
            </w:pPr>
            <w:r>
              <w:rPr>
                <w:rFonts w:ascii="Aptos" w:hAnsi="Aptos"/>
                <w:b/>
                <w:color w:val="FFFFFF"/>
                <w:sz w:val="17"/>
              </w:rPr>
              <w:t>Failure Scenario</w:t>
            </w:r>
          </w:p>
        </w:tc>
        <w:tc>
          <w:tcPr>
            <w:tcW w:w="4032" w:type="dxa"/>
            <w:shd w:val="clear" w:color="auto" w:fill="0B3A63"/>
            <w:vAlign w:val="center"/>
          </w:tcPr>
          <w:p w14:paraId="03426C79">
            <w:pPr>
              <w:spacing w:after="0" w:line="240" w:lineRule="auto"/>
            </w:pPr>
            <w:r>
              <w:rPr>
                <w:rFonts w:ascii="Aptos" w:hAnsi="Aptos"/>
                <w:b/>
                <w:color w:val="FFFFFF"/>
                <w:sz w:val="17"/>
              </w:rPr>
              <w:t>Protection Mechanism</w:t>
            </w:r>
          </w:p>
        </w:tc>
        <w:tc>
          <w:tcPr>
            <w:tcW w:w="3744" w:type="dxa"/>
            <w:shd w:val="clear" w:color="auto" w:fill="0B3A63"/>
            <w:vAlign w:val="center"/>
          </w:tcPr>
          <w:p w14:paraId="1D1C0C60">
            <w:pPr>
              <w:spacing w:after="0" w:line="240" w:lineRule="auto"/>
            </w:pPr>
            <w:r>
              <w:rPr>
                <w:rFonts w:ascii="Aptos" w:hAnsi="Aptos"/>
                <w:b/>
                <w:color w:val="FFFFFF"/>
                <w:sz w:val="17"/>
              </w:rPr>
              <w:t>Expected Result</w:t>
            </w:r>
          </w:p>
        </w:tc>
      </w:tr>
      <w:tr w14:paraId="521A8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91EA237">
            <w:pPr>
              <w:spacing w:after="0" w:line="240" w:lineRule="auto"/>
            </w:pPr>
            <w:r>
              <w:rPr>
                <w:rFonts w:ascii="Aptos" w:hAnsi="Aptos"/>
                <w:b w:val="0"/>
                <w:sz w:val="16"/>
              </w:rPr>
              <w:t>Single Hyper-V node failure</w:t>
            </w:r>
          </w:p>
        </w:tc>
        <w:tc>
          <w:tcPr>
            <w:tcW w:w="4032" w:type="dxa"/>
            <w:vAlign w:val="center"/>
          </w:tcPr>
          <w:p w14:paraId="21FBD7FD">
            <w:pPr>
              <w:spacing w:after="0" w:line="240" w:lineRule="auto"/>
            </w:pPr>
            <w:r>
              <w:rPr>
                <w:rFonts w:ascii="Aptos" w:hAnsi="Aptos"/>
                <w:b w:val="0"/>
                <w:sz w:val="16"/>
              </w:rPr>
              <w:t>WSFC + clustered VMs</w:t>
            </w:r>
          </w:p>
        </w:tc>
        <w:tc>
          <w:tcPr>
            <w:tcW w:w="3744" w:type="dxa"/>
            <w:vAlign w:val="center"/>
          </w:tcPr>
          <w:p w14:paraId="7574A449">
            <w:pPr>
              <w:spacing w:after="0" w:line="240" w:lineRule="auto"/>
            </w:pPr>
            <w:r>
              <w:rPr>
                <w:rFonts w:ascii="Aptos" w:hAnsi="Aptos"/>
                <w:b w:val="0"/>
                <w:sz w:val="16"/>
              </w:rPr>
              <w:t>VMs restart on surviving node; exact service time depends on guest/application startup.</w:t>
            </w:r>
          </w:p>
        </w:tc>
      </w:tr>
      <w:tr w14:paraId="13530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7F9FB"/>
            <w:vAlign w:val="center"/>
          </w:tcPr>
          <w:p w14:paraId="3A558BB4">
            <w:pPr>
              <w:spacing w:after="0" w:line="240" w:lineRule="auto"/>
            </w:pPr>
            <w:r>
              <w:rPr>
                <w:rFonts w:ascii="Aptos" w:hAnsi="Aptos"/>
                <w:b w:val="0"/>
                <w:sz w:val="16"/>
              </w:rPr>
              <w:t>Single core switch/link failure</w:t>
            </w:r>
          </w:p>
        </w:tc>
        <w:tc>
          <w:tcPr>
            <w:tcW w:w="4032" w:type="dxa"/>
            <w:shd w:val="clear" w:color="auto" w:fill="F7F9FB"/>
            <w:vAlign w:val="center"/>
          </w:tcPr>
          <w:p w14:paraId="47132ADB">
            <w:pPr>
              <w:spacing w:after="0" w:line="240" w:lineRule="auto"/>
            </w:pPr>
            <w:r>
              <w:rPr>
                <w:rFonts w:ascii="Aptos" w:hAnsi="Aptos"/>
                <w:b w:val="0"/>
                <w:sz w:val="16"/>
              </w:rPr>
              <w:t>Dual switches + redundant NIC paths</w:t>
            </w:r>
          </w:p>
        </w:tc>
        <w:tc>
          <w:tcPr>
            <w:tcW w:w="3744" w:type="dxa"/>
            <w:shd w:val="clear" w:color="auto" w:fill="F7F9FB"/>
            <w:vAlign w:val="center"/>
          </w:tcPr>
          <w:p w14:paraId="3EBAC525">
            <w:pPr>
              <w:spacing w:after="0" w:line="240" w:lineRule="auto"/>
            </w:pPr>
            <w:r>
              <w:rPr>
                <w:rFonts w:ascii="Aptos" w:hAnsi="Aptos"/>
                <w:b w:val="0"/>
                <w:sz w:val="16"/>
              </w:rPr>
              <w:t>Traffic continues over surviving path.</w:t>
            </w:r>
          </w:p>
        </w:tc>
      </w:tr>
      <w:tr w14:paraId="0DA5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D367630">
            <w:pPr>
              <w:spacing w:after="0" w:line="240" w:lineRule="auto"/>
            </w:pPr>
            <w:r>
              <w:rPr>
                <w:rFonts w:ascii="Aptos" w:hAnsi="Aptos"/>
                <w:b w:val="0"/>
                <w:sz w:val="16"/>
              </w:rPr>
              <w:t>Single SAN controller/path failure</w:t>
            </w:r>
          </w:p>
        </w:tc>
        <w:tc>
          <w:tcPr>
            <w:tcW w:w="4032" w:type="dxa"/>
            <w:vAlign w:val="center"/>
          </w:tcPr>
          <w:p w14:paraId="07FFCE2A">
            <w:pPr>
              <w:spacing w:after="0" w:line="240" w:lineRule="auto"/>
            </w:pPr>
            <w:r>
              <w:rPr>
                <w:rFonts w:ascii="Aptos" w:hAnsi="Aptos"/>
                <w:b w:val="0"/>
                <w:sz w:val="16"/>
              </w:rPr>
              <w:t>Dual-controller SAN + MPIO</w:t>
            </w:r>
          </w:p>
        </w:tc>
        <w:tc>
          <w:tcPr>
            <w:tcW w:w="3744" w:type="dxa"/>
            <w:vAlign w:val="center"/>
          </w:tcPr>
          <w:p w14:paraId="2762E97B">
            <w:pPr>
              <w:spacing w:after="0" w:line="240" w:lineRule="auto"/>
            </w:pPr>
            <w:r>
              <w:rPr>
                <w:rFonts w:ascii="Aptos" w:hAnsi="Aptos"/>
                <w:b w:val="0"/>
                <w:sz w:val="16"/>
              </w:rPr>
              <w:t>Storage remains accessible through alternate controller/path.</w:t>
            </w:r>
          </w:p>
        </w:tc>
      </w:tr>
      <w:tr w14:paraId="5590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7F9FB"/>
            <w:vAlign w:val="center"/>
          </w:tcPr>
          <w:p w14:paraId="5CF5700E">
            <w:pPr>
              <w:spacing w:after="0" w:line="240" w:lineRule="auto"/>
            </w:pPr>
            <w:r>
              <w:rPr>
                <w:rFonts w:ascii="Aptos" w:hAnsi="Aptos"/>
                <w:b w:val="0"/>
                <w:sz w:val="16"/>
              </w:rPr>
              <w:t>Production VM corruption</w:t>
            </w:r>
          </w:p>
        </w:tc>
        <w:tc>
          <w:tcPr>
            <w:tcW w:w="4032" w:type="dxa"/>
            <w:shd w:val="clear" w:color="auto" w:fill="F7F9FB"/>
            <w:vAlign w:val="center"/>
          </w:tcPr>
          <w:p w14:paraId="7C23C0C7">
            <w:pPr>
              <w:spacing w:after="0" w:line="240" w:lineRule="auto"/>
            </w:pPr>
            <w:r>
              <w:rPr>
                <w:rFonts w:ascii="Aptos" w:hAnsi="Aptos"/>
                <w:b w:val="0"/>
                <w:sz w:val="16"/>
              </w:rPr>
              <w:t>Veeam restore / instant recovery where supported</w:t>
            </w:r>
          </w:p>
        </w:tc>
        <w:tc>
          <w:tcPr>
            <w:tcW w:w="3744" w:type="dxa"/>
            <w:shd w:val="clear" w:color="auto" w:fill="F7F9FB"/>
            <w:vAlign w:val="center"/>
          </w:tcPr>
          <w:p w14:paraId="4AB2F7DA">
            <w:pPr>
              <w:spacing w:after="0" w:line="240" w:lineRule="auto"/>
            </w:pPr>
            <w:r>
              <w:rPr>
                <w:rFonts w:ascii="Aptos" w:hAnsi="Aptos"/>
                <w:b w:val="0"/>
                <w:sz w:val="16"/>
              </w:rPr>
              <w:t>Recover VM, volume, file or application data from protected restore point.</w:t>
            </w:r>
          </w:p>
        </w:tc>
      </w:tr>
      <w:tr w14:paraId="77A7E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648FDFA">
            <w:pPr>
              <w:spacing w:after="0" w:line="240" w:lineRule="auto"/>
            </w:pPr>
            <w:r>
              <w:rPr>
                <w:rFonts w:ascii="Aptos" w:hAnsi="Aptos"/>
                <w:b w:val="0"/>
                <w:sz w:val="16"/>
              </w:rPr>
              <w:t>Ransomware affecting production</w:t>
            </w:r>
          </w:p>
        </w:tc>
        <w:tc>
          <w:tcPr>
            <w:tcW w:w="4032" w:type="dxa"/>
            <w:vAlign w:val="center"/>
          </w:tcPr>
          <w:p w14:paraId="79E0203C">
            <w:pPr>
              <w:spacing w:after="0" w:line="240" w:lineRule="auto"/>
            </w:pPr>
            <w:r>
              <w:rPr>
                <w:rFonts w:ascii="Aptos" w:hAnsi="Aptos"/>
                <w:b w:val="0"/>
                <w:sz w:val="16"/>
              </w:rPr>
              <w:t>Immutable backup copy separated from production credentials</w:t>
            </w:r>
          </w:p>
        </w:tc>
        <w:tc>
          <w:tcPr>
            <w:tcW w:w="3744" w:type="dxa"/>
            <w:vAlign w:val="center"/>
          </w:tcPr>
          <w:p w14:paraId="51EDEB87">
            <w:pPr>
              <w:spacing w:after="0" w:line="240" w:lineRule="auto"/>
            </w:pPr>
            <w:r>
              <w:rPr>
                <w:rFonts w:ascii="Aptos" w:hAnsi="Aptos"/>
                <w:b w:val="0"/>
                <w:sz w:val="16"/>
              </w:rPr>
              <w:t>Clean restore point remains protected for configured immutability period.</w:t>
            </w:r>
          </w:p>
        </w:tc>
      </w:tr>
      <w:tr w14:paraId="1546A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7F9FB"/>
            <w:vAlign w:val="center"/>
          </w:tcPr>
          <w:p w14:paraId="196E4B97">
            <w:pPr>
              <w:spacing w:after="0" w:line="240" w:lineRule="auto"/>
            </w:pPr>
            <w:r>
              <w:rPr>
                <w:rFonts w:ascii="Aptos" w:hAnsi="Aptos"/>
                <w:b w:val="0"/>
                <w:sz w:val="16"/>
              </w:rPr>
              <w:t>Primary site outage</w:t>
            </w:r>
          </w:p>
        </w:tc>
        <w:tc>
          <w:tcPr>
            <w:tcW w:w="4032" w:type="dxa"/>
            <w:shd w:val="clear" w:color="auto" w:fill="F7F9FB"/>
            <w:vAlign w:val="center"/>
          </w:tcPr>
          <w:p w14:paraId="185256D1">
            <w:pPr>
              <w:spacing w:after="0" w:line="240" w:lineRule="auto"/>
            </w:pPr>
            <w:r>
              <w:rPr>
                <w:rFonts w:ascii="Aptos" w:hAnsi="Aptos"/>
                <w:b w:val="0"/>
                <w:sz w:val="16"/>
              </w:rPr>
              <w:t>DR VM/data replication + documented failover</w:t>
            </w:r>
          </w:p>
        </w:tc>
        <w:tc>
          <w:tcPr>
            <w:tcW w:w="3744" w:type="dxa"/>
            <w:shd w:val="clear" w:color="auto" w:fill="F7F9FB"/>
            <w:vAlign w:val="center"/>
          </w:tcPr>
          <w:p w14:paraId="3C734145">
            <w:pPr>
              <w:spacing w:after="0" w:line="240" w:lineRule="auto"/>
            </w:pPr>
            <w:r>
              <w:rPr>
                <w:rFonts w:ascii="Aptos" w:hAnsi="Aptos"/>
                <w:b w:val="0"/>
                <w:sz w:val="16"/>
              </w:rPr>
              <w:t>Critical services recovered at DR according to service tier and dependency order.</w:t>
            </w:r>
          </w:p>
        </w:tc>
      </w:tr>
    </w:tbl>
    <w:p w14:paraId="45EF8A59">
      <w:pPr>
        <w:spacing w:after="20"/>
      </w:pPr>
    </w:p>
    <w:p w14:paraId="6EE34ED3">
      <w:r>
        <w:br w:type="page"/>
      </w:r>
    </w:p>
    <w:p w14:paraId="0EB5148D">
      <w:pPr>
        <w:pStyle w:val="2"/>
      </w:pPr>
      <w:r>
        <w:t>3. Primary Site Infrastructure</w:t>
      </w:r>
    </w:p>
    <w:p w14:paraId="033F5FD7">
      <w:pPr>
        <w:pStyle w:val="3"/>
      </w:pPr>
      <w:r>
        <w:t>3.1 Hyper-V Failover Cluster</w:t>
      </w:r>
    </w:p>
    <w:p w14:paraId="3775D83A">
      <w:r>
        <w:t>The production virtualization platform is proposed as a two-node Windows Server Failover Cluster (WSFC) running Hyper-V. Both nodes should be from the same OEM/server family, use compatible firmware and drivers, and be validated for the selected Windows Server release.</w:t>
      </w:r>
    </w:p>
    <w:p w14:paraId="66F71A51">
      <w:pPr>
        <w:pStyle w:val="4"/>
      </w:pPr>
      <w:r>
        <w:t>VM Placement Principle</w:t>
      </w:r>
    </w:p>
    <w:p w14:paraId="4A7AD6DF">
      <w:r>
        <w:t>The following services are virtualized on the two-node Hyper-V cluster: Domain Controllers/DNS, application servers, database servers, API/integration services, reverse proxy/web services, monitoring server, management tools server, Veeam Backup Server and other application VMs. The reverse proxy and API/integration VMs are logically connected to the DMZ/External Integration zone through VLAN and firewall policy even though they physically run on the cluster hosts.</w:t>
      </w:r>
    </w:p>
    <w:p w14:paraId="10FD3D97">
      <w:r>
        <w:t>The physical backup repository and immutable backup storage are not part of the Hyper-V cluster and do not reside on the production SAN. This separation preserves a distinct backup failure and security domain.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3744"/>
        <w:gridCol w:w="4464"/>
      </w:tblGrid>
      <w:tr w14:paraId="5E15C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0B3A63"/>
            <w:vAlign w:val="center"/>
          </w:tcPr>
          <w:p w14:paraId="3720CAD4">
            <w:pPr>
              <w:spacing w:after="0" w:line="240" w:lineRule="auto"/>
            </w:pPr>
            <w:r>
              <w:rPr>
                <w:rFonts w:ascii="Aptos" w:hAnsi="Aptos"/>
                <w:b/>
                <w:color w:val="FFFFFF"/>
                <w:sz w:val="17"/>
              </w:rPr>
              <w:t>Component</w:t>
            </w:r>
          </w:p>
        </w:tc>
        <w:tc>
          <w:tcPr>
            <w:tcW w:w="3744" w:type="dxa"/>
            <w:shd w:val="clear" w:color="auto" w:fill="0B3A63"/>
            <w:vAlign w:val="center"/>
          </w:tcPr>
          <w:p w14:paraId="5AE9F445">
            <w:pPr>
              <w:spacing w:after="0" w:line="240" w:lineRule="auto"/>
            </w:pPr>
            <w:r>
              <w:rPr>
                <w:rFonts w:ascii="Aptos" w:hAnsi="Aptos"/>
                <w:b/>
                <w:color w:val="FFFFFF"/>
                <w:sz w:val="17"/>
              </w:rPr>
              <w:t>Preliminary Specification</w:t>
            </w:r>
          </w:p>
        </w:tc>
        <w:tc>
          <w:tcPr>
            <w:tcW w:w="4464" w:type="dxa"/>
            <w:shd w:val="clear" w:color="auto" w:fill="0B3A63"/>
            <w:vAlign w:val="center"/>
          </w:tcPr>
          <w:p w14:paraId="6A01DE6F">
            <w:pPr>
              <w:spacing w:after="0" w:line="240" w:lineRule="auto"/>
            </w:pPr>
            <w:r>
              <w:rPr>
                <w:rFonts w:ascii="Aptos" w:hAnsi="Aptos"/>
                <w:b/>
                <w:color w:val="FFFFFF"/>
                <w:sz w:val="17"/>
              </w:rPr>
              <w:t>Design Rationale</w:t>
            </w:r>
          </w:p>
        </w:tc>
      </w:tr>
      <w:tr w14:paraId="00C0B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8D5F311">
            <w:pPr>
              <w:spacing w:after="0" w:line="240" w:lineRule="auto"/>
            </w:pPr>
            <w:r>
              <w:rPr>
                <w:rFonts w:ascii="Aptos" w:hAnsi="Aptos"/>
                <w:b w:val="0"/>
                <w:sz w:val="16"/>
              </w:rPr>
              <w:t>Cluster nodes</w:t>
            </w:r>
          </w:p>
        </w:tc>
        <w:tc>
          <w:tcPr>
            <w:tcW w:w="3744" w:type="dxa"/>
            <w:vAlign w:val="center"/>
          </w:tcPr>
          <w:p w14:paraId="4226307C">
            <w:pPr>
              <w:spacing w:after="0" w:line="240" w:lineRule="auto"/>
            </w:pPr>
            <w:r>
              <w:rPr>
                <w:rFonts w:ascii="Aptos" w:hAnsi="Aptos"/>
                <w:b w:val="0"/>
                <w:sz w:val="16"/>
              </w:rPr>
              <w:t>2 × enterprise 2U rack servers</w:t>
            </w:r>
          </w:p>
        </w:tc>
        <w:tc>
          <w:tcPr>
            <w:tcW w:w="4464" w:type="dxa"/>
            <w:vAlign w:val="center"/>
          </w:tcPr>
          <w:p w14:paraId="0A590BA1">
            <w:pPr>
              <w:spacing w:after="0" w:line="240" w:lineRule="auto"/>
            </w:pPr>
            <w:r>
              <w:rPr>
                <w:rFonts w:ascii="Aptos" w:hAnsi="Aptos"/>
                <w:b w:val="0"/>
                <w:sz w:val="16"/>
              </w:rPr>
              <w:t>Two nodes provide local high availability and permit maintenance of one node while services run on the other.</w:t>
            </w:r>
          </w:p>
        </w:tc>
      </w:tr>
      <w:tr w14:paraId="3B5F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7F9FB"/>
            <w:vAlign w:val="center"/>
          </w:tcPr>
          <w:p w14:paraId="504C3B2C">
            <w:pPr>
              <w:spacing w:after="0" w:line="240" w:lineRule="auto"/>
            </w:pPr>
            <w:r>
              <w:rPr>
                <w:rFonts w:ascii="Aptos" w:hAnsi="Aptos"/>
                <w:b w:val="0"/>
                <w:sz w:val="16"/>
              </w:rPr>
              <w:t>CPU</w:t>
            </w:r>
          </w:p>
        </w:tc>
        <w:tc>
          <w:tcPr>
            <w:tcW w:w="3744" w:type="dxa"/>
            <w:shd w:val="clear" w:color="auto" w:fill="F7F9FB"/>
            <w:vAlign w:val="center"/>
          </w:tcPr>
          <w:p w14:paraId="4E81DA46">
            <w:pPr>
              <w:spacing w:after="0" w:line="240" w:lineRule="auto"/>
            </w:pPr>
            <w:r>
              <w:rPr>
                <w:rFonts w:ascii="Aptos" w:hAnsi="Aptos"/>
                <w:b w:val="0"/>
                <w:sz w:val="16"/>
              </w:rPr>
              <w:t>2 sockets/server; preliminary 16–24 cores per CPU</w:t>
            </w:r>
          </w:p>
        </w:tc>
        <w:tc>
          <w:tcPr>
            <w:tcW w:w="4464" w:type="dxa"/>
            <w:shd w:val="clear" w:color="auto" w:fill="F7F9FB"/>
            <w:vAlign w:val="center"/>
          </w:tcPr>
          <w:p w14:paraId="1E8229A4">
            <w:pPr>
              <w:spacing w:after="0" w:line="240" w:lineRule="auto"/>
            </w:pPr>
            <w:r>
              <w:rPr>
                <w:rFonts w:ascii="Aptos" w:hAnsi="Aptos"/>
                <w:b w:val="0"/>
                <w:sz w:val="16"/>
              </w:rPr>
              <w:t>Final sizing must be based on application/DB vendor requirements and licensing.</w:t>
            </w:r>
          </w:p>
        </w:tc>
      </w:tr>
      <w:tr w14:paraId="7E7E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CB65FB6">
            <w:pPr>
              <w:spacing w:after="0" w:line="240" w:lineRule="auto"/>
            </w:pPr>
            <w:r>
              <w:rPr>
                <w:rFonts w:ascii="Aptos" w:hAnsi="Aptos"/>
                <w:b w:val="0"/>
                <w:sz w:val="16"/>
              </w:rPr>
              <w:t>Memory</w:t>
            </w:r>
          </w:p>
        </w:tc>
        <w:tc>
          <w:tcPr>
            <w:tcW w:w="3744" w:type="dxa"/>
            <w:vAlign w:val="center"/>
          </w:tcPr>
          <w:p w14:paraId="2314C5B8">
            <w:pPr>
              <w:spacing w:after="0" w:line="240" w:lineRule="auto"/>
            </w:pPr>
            <w:r>
              <w:rPr>
                <w:rFonts w:ascii="Aptos" w:hAnsi="Aptos"/>
                <w:b w:val="0"/>
                <w:sz w:val="16"/>
              </w:rPr>
              <w:t>256 GB RAM/server minimum design allowance; expandable to 512 GB+</w:t>
            </w:r>
          </w:p>
        </w:tc>
        <w:tc>
          <w:tcPr>
            <w:tcW w:w="4464" w:type="dxa"/>
            <w:vAlign w:val="center"/>
          </w:tcPr>
          <w:p w14:paraId="357B20AA">
            <w:pPr>
              <w:spacing w:after="0" w:line="240" w:lineRule="auto"/>
            </w:pPr>
            <w:r>
              <w:rPr>
                <w:rFonts w:ascii="Aptos" w:hAnsi="Aptos"/>
                <w:b w:val="0"/>
                <w:sz w:val="16"/>
              </w:rPr>
              <w:t>Provides headroom for failover; surviving node must carry critical workloads.</w:t>
            </w:r>
          </w:p>
        </w:tc>
      </w:tr>
      <w:tr w14:paraId="386E8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7F9FB"/>
            <w:vAlign w:val="center"/>
          </w:tcPr>
          <w:p w14:paraId="00B702F4">
            <w:pPr>
              <w:spacing w:after="0" w:line="240" w:lineRule="auto"/>
            </w:pPr>
            <w:r>
              <w:rPr>
                <w:rFonts w:ascii="Aptos" w:hAnsi="Aptos"/>
                <w:b w:val="0"/>
                <w:sz w:val="16"/>
              </w:rPr>
              <w:t>Boot</w:t>
            </w:r>
          </w:p>
        </w:tc>
        <w:tc>
          <w:tcPr>
            <w:tcW w:w="3744" w:type="dxa"/>
            <w:shd w:val="clear" w:color="auto" w:fill="F7F9FB"/>
            <w:vAlign w:val="center"/>
          </w:tcPr>
          <w:p w14:paraId="22D59480">
            <w:pPr>
              <w:spacing w:after="0" w:line="240" w:lineRule="auto"/>
            </w:pPr>
            <w:r>
              <w:rPr>
                <w:rFonts w:ascii="Aptos" w:hAnsi="Aptos"/>
                <w:b w:val="0"/>
                <w:sz w:val="16"/>
              </w:rPr>
              <w:t>2 × enterprise SSD in RAID 1</w:t>
            </w:r>
          </w:p>
        </w:tc>
        <w:tc>
          <w:tcPr>
            <w:tcW w:w="4464" w:type="dxa"/>
            <w:shd w:val="clear" w:color="auto" w:fill="F7F9FB"/>
            <w:vAlign w:val="center"/>
          </w:tcPr>
          <w:p w14:paraId="49758A9F">
            <w:pPr>
              <w:spacing w:after="0" w:line="240" w:lineRule="auto"/>
            </w:pPr>
            <w:r>
              <w:rPr>
                <w:rFonts w:ascii="Aptos" w:hAnsi="Aptos"/>
                <w:b w:val="0"/>
                <w:sz w:val="16"/>
              </w:rPr>
              <w:t>Separates host OS from VM data.</w:t>
            </w:r>
          </w:p>
        </w:tc>
      </w:tr>
      <w:tr w14:paraId="4A00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E0FA9F1">
            <w:pPr>
              <w:spacing w:after="0" w:line="240" w:lineRule="auto"/>
            </w:pPr>
            <w:r>
              <w:rPr>
                <w:rFonts w:ascii="Aptos" w:hAnsi="Aptos"/>
                <w:b w:val="0"/>
                <w:sz w:val="16"/>
              </w:rPr>
              <w:t>Data/cluster NIC</w:t>
            </w:r>
          </w:p>
        </w:tc>
        <w:tc>
          <w:tcPr>
            <w:tcW w:w="3744" w:type="dxa"/>
            <w:vAlign w:val="center"/>
          </w:tcPr>
          <w:p w14:paraId="53704B3C">
            <w:pPr>
              <w:spacing w:after="0" w:line="240" w:lineRule="auto"/>
            </w:pPr>
            <w:r>
              <w:rPr>
                <w:rFonts w:ascii="Aptos" w:hAnsi="Aptos"/>
                <w:b w:val="0"/>
                <w:sz w:val="16"/>
              </w:rPr>
              <w:t>Minimum 4 × 10/25GbE per host, or equivalent converged design</w:t>
            </w:r>
          </w:p>
        </w:tc>
        <w:tc>
          <w:tcPr>
            <w:tcW w:w="4464" w:type="dxa"/>
            <w:vAlign w:val="center"/>
          </w:tcPr>
          <w:p w14:paraId="1CBBFB14">
            <w:pPr>
              <w:spacing w:after="0" w:line="240" w:lineRule="auto"/>
            </w:pPr>
            <w:r>
              <w:rPr>
                <w:rFonts w:ascii="Aptos" w:hAnsi="Aptos"/>
                <w:b w:val="0"/>
                <w:sz w:val="16"/>
              </w:rPr>
              <w:t>Redundant production, cluster/live migration, management and backup paths.</w:t>
            </w:r>
          </w:p>
        </w:tc>
      </w:tr>
      <w:tr w14:paraId="4C5E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7F9FB"/>
            <w:vAlign w:val="center"/>
          </w:tcPr>
          <w:p w14:paraId="1A13748B">
            <w:pPr>
              <w:spacing w:after="0" w:line="240" w:lineRule="auto"/>
            </w:pPr>
            <w:r>
              <w:rPr>
                <w:rFonts w:ascii="Aptos" w:hAnsi="Aptos"/>
                <w:b w:val="0"/>
                <w:sz w:val="16"/>
              </w:rPr>
              <w:t>Storage connectivity</w:t>
            </w:r>
          </w:p>
        </w:tc>
        <w:tc>
          <w:tcPr>
            <w:tcW w:w="3744" w:type="dxa"/>
            <w:shd w:val="clear" w:color="auto" w:fill="F7F9FB"/>
            <w:vAlign w:val="center"/>
          </w:tcPr>
          <w:p w14:paraId="7541B771">
            <w:pPr>
              <w:spacing w:after="0" w:line="240" w:lineRule="auto"/>
            </w:pPr>
            <w:r>
              <w:rPr>
                <w:rFonts w:ascii="Aptos" w:hAnsi="Aptos"/>
                <w:b w:val="0"/>
                <w:sz w:val="16"/>
              </w:rPr>
              <w:t>Dual-path 10/25Gb iSCSI or FC</w:t>
            </w:r>
          </w:p>
        </w:tc>
        <w:tc>
          <w:tcPr>
            <w:tcW w:w="4464" w:type="dxa"/>
            <w:shd w:val="clear" w:color="auto" w:fill="F7F9FB"/>
            <w:vAlign w:val="center"/>
          </w:tcPr>
          <w:p w14:paraId="3BBD4CE4">
            <w:pPr>
              <w:spacing w:after="0" w:line="240" w:lineRule="auto"/>
            </w:pPr>
            <w:r>
              <w:rPr>
                <w:rFonts w:ascii="Aptos" w:hAnsi="Aptos"/>
                <w:b w:val="0"/>
                <w:sz w:val="16"/>
              </w:rPr>
              <w:t>No single storage path; use MPIO.</w:t>
            </w:r>
          </w:p>
        </w:tc>
      </w:tr>
      <w:tr w14:paraId="25B2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C214E7F">
            <w:pPr>
              <w:spacing w:after="0" w:line="240" w:lineRule="auto"/>
            </w:pPr>
            <w:r>
              <w:rPr>
                <w:rFonts w:ascii="Aptos" w:hAnsi="Aptos"/>
                <w:b w:val="0"/>
                <w:sz w:val="16"/>
              </w:rPr>
              <w:t>OOB management</w:t>
            </w:r>
          </w:p>
        </w:tc>
        <w:tc>
          <w:tcPr>
            <w:tcW w:w="3744" w:type="dxa"/>
            <w:vAlign w:val="center"/>
          </w:tcPr>
          <w:p w14:paraId="350C4A3A">
            <w:pPr>
              <w:spacing w:after="0" w:line="240" w:lineRule="auto"/>
            </w:pPr>
            <w:r>
              <w:rPr>
                <w:rFonts w:ascii="Aptos" w:hAnsi="Aptos"/>
                <w:b w:val="0"/>
                <w:sz w:val="16"/>
              </w:rPr>
              <w:t>Dedicated iLO/iDRAC/XClarity or equivalent</w:t>
            </w:r>
          </w:p>
        </w:tc>
        <w:tc>
          <w:tcPr>
            <w:tcW w:w="4464" w:type="dxa"/>
            <w:vAlign w:val="center"/>
          </w:tcPr>
          <w:p w14:paraId="54C9EAB5">
            <w:pPr>
              <w:spacing w:after="0" w:line="240" w:lineRule="auto"/>
            </w:pPr>
            <w:r>
              <w:rPr>
                <w:rFonts w:ascii="Aptos" w:hAnsi="Aptos"/>
                <w:b w:val="0"/>
                <w:sz w:val="16"/>
              </w:rPr>
              <w:t>Remote hardware management independent of host OS.</w:t>
            </w:r>
          </w:p>
        </w:tc>
      </w:tr>
      <w:tr w14:paraId="2B729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7F9FB"/>
            <w:vAlign w:val="center"/>
          </w:tcPr>
          <w:p w14:paraId="5112DAE0">
            <w:pPr>
              <w:spacing w:after="0" w:line="240" w:lineRule="auto"/>
            </w:pPr>
            <w:r>
              <w:rPr>
                <w:rFonts w:ascii="Aptos" w:hAnsi="Aptos"/>
                <w:b w:val="0"/>
                <w:sz w:val="16"/>
              </w:rPr>
              <w:t>Power</w:t>
            </w:r>
          </w:p>
        </w:tc>
        <w:tc>
          <w:tcPr>
            <w:tcW w:w="3744" w:type="dxa"/>
            <w:shd w:val="clear" w:color="auto" w:fill="F7F9FB"/>
            <w:vAlign w:val="center"/>
          </w:tcPr>
          <w:p w14:paraId="3D79CA96">
            <w:pPr>
              <w:spacing w:after="0" w:line="240" w:lineRule="auto"/>
            </w:pPr>
            <w:r>
              <w:rPr>
                <w:rFonts w:ascii="Aptos" w:hAnsi="Aptos"/>
                <w:b w:val="0"/>
                <w:sz w:val="16"/>
              </w:rPr>
              <w:t>Dual hot-plug PSUs to separate PDUs/UPS feeds</w:t>
            </w:r>
          </w:p>
        </w:tc>
        <w:tc>
          <w:tcPr>
            <w:tcW w:w="4464" w:type="dxa"/>
            <w:shd w:val="clear" w:color="auto" w:fill="F7F9FB"/>
            <w:vAlign w:val="center"/>
          </w:tcPr>
          <w:p w14:paraId="7A3C5571">
            <w:pPr>
              <w:spacing w:after="0" w:line="240" w:lineRule="auto"/>
            </w:pPr>
            <w:r>
              <w:rPr>
                <w:rFonts w:ascii="Aptos" w:hAnsi="Aptos"/>
                <w:b w:val="0"/>
                <w:sz w:val="16"/>
              </w:rPr>
              <w:t>Removes single PSU/power-feed dependency.</w:t>
            </w:r>
          </w:p>
        </w:tc>
      </w:tr>
    </w:tbl>
    <w:p w14:paraId="6D2ABFB4">
      <w:pPr>
        <w:spacing w:after="20"/>
      </w:pPr>
    </w:p>
    <w:p w14:paraId="56CB1A0C">
      <w:pPr>
        <w:pStyle w:val="3"/>
      </w:pPr>
      <w:r>
        <w:t>3.2 Shared SAN Storage</w:t>
      </w:r>
    </w:p>
    <w:p w14:paraId="2DE4E580">
      <w:r>
        <w:t>A dedicated dual-controller enterprise SAN is proposed for clustered VM storage. The SAN should be sized from measured or vendor-provided capacity and IOPS requirements rather than from raw TB alone.</w:t>
      </w:r>
    </w:p>
    <w:p w14:paraId="4BD75A45">
      <w:pPr>
        <w:pStyle w:val="23"/>
        <w:spacing w:after="40"/>
      </w:pPr>
      <w:r>
        <w:t>Dual active/active or active/standby controllers with non-disruptive controller failover.</w:t>
      </w:r>
    </w:p>
    <w:p w14:paraId="5FB340A6">
      <w:pPr>
        <w:pStyle w:val="23"/>
        <w:spacing w:after="40"/>
      </w:pPr>
      <w:r>
        <w:t>Enterprise SSD / all-flash preferred for database and high-volume production workloads.</w:t>
      </w:r>
    </w:p>
    <w:p w14:paraId="002598ED">
      <w:pPr>
        <w:pStyle w:val="23"/>
        <w:spacing w:after="40"/>
      </w:pPr>
      <w:r>
        <w:t>RAID-6 or vendor-equivalent protected pool, subject to performance validation.</w:t>
      </w:r>
    </w:p>
    <w:p w14:paraId="1F802E6B">
      <w:pPr>
        <w:pStyle w:val="23"/>
        <w:spacing w:after="40"/>
      </w:pPr>
      <w:r>
        <w:t>Multipath connectivity from each Hyper-V node to both storage controllers.</w:t>
      </w:r>
    </w:p>
    <w:p w14:paraId="11671F7A">
      <w:pPr>
        <w:pStyle w:val="23"/>
        <w:spacing w:after="40"/>
      </w:pPr>
      <w:r>
        <w:t>Thin provisioning, snapshots and monitoring, while treating snapshots as operational aids rather than backups.</w:t>
      </w:r>
    </w:p>
    <w:p w14:paraId="04318E34">
      <w:pPr>
        <w:pStyle w:val="23"/>
        <w:spacing w:after="40"/>
      </w:pPr>
      <w:r>
        <w:t>Encryption at rest where supported and required by the security design.</w:t>
      </w:r>
    </w:p>
    <w:p w14:paraId="3A4DC39B">
      <w:pPr>
        <w:pStyle w:val="23"/>
        <w:spacing w:after="40"/>
      </w:pPr>
      <w:r>
        <w:t>Initial design allowance: approximately 10–15 TB usable, subject to formal sizing.</w:t>
      </w:r>
    </w:p>
    <w:p w14:paraId="2E89E531">
      <w:pPr>
        <w:pStyle w:val="23"/>
        <w:spacing w:after="40"/>
      </w:pPr>
      <w:r>
        <w:t>Capacity reserve for growth, snapshots, maintenance operations and performance stability.</w:t>
      </w:r>
    </w:p>
    <w:p w14:paraId="26D361A3">
      <w:pPr>
        <w:pStyle w:val="3"/>
      </w:pPr>
      <w:r>
        <w:t>3.3 Primary Network</w:t>
      </w:r>
    </w:p>
    <w:p w14:paraId="0F14A26D">
      <w:r>
        <w:t>Two managed Layer-3 core switches are recommended. A single main switch would create a single point of failure and would weaken the RFP's redundancy objective. The switches should support VLANs, LACP/MLAG or vendor-equivalent multi-chassis resiliency, ACLs, QoS, SNMP/telemetry, 10/25Gb server uplinks and redundant power.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3312"/>
        <w:gridCol w:w="5616"/>
      </w:tblGrid>
      <w:tr w14:paraId="5F7B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B3A63"/>
            <w:vAlign w:val="center"/>
          </w:tcPr>
          <w:p w14:paraId="5EBB8E91">
            <w:pPr>
              <w:spacing w:after="0" w:line="240" w:lineRule="auto"/>
            </w:pPr>
            <w:r>
              <w:rPr>
                <w:rFonts w:ascii="Aptos" w:hAnsi="Aptos"/>
                <w:b/>
                <w:color w:val="FFFFFF"/>
                <w:sz w:val="17"/>
              </w:rPr>
              <w:t>VLAN</w:t>
            </w:r>
          </w:p>
        </w:tc>
        <w:tc>
          <w:tcPr>
            <w:tcW w:w="3312" w:type="dxa"/>
            <w:shd w:val="clear" w:color="auto" w:fill="0B3A63"/>
            <w:vAlign w:val="center"/>
          </w:tcPr>
          <w:p w14:paraId="521CA081">
            <w:pPr>
              <w:spacing w:after="0" w:line="240" w:lineRule="auto"/>
            </w:pPr>
            <w:r>
              <w:rPr>
                <w:rFonts w:ascii="Aptos" w:hAnsi="Aptos"/>
                <w:b/>
                <w:color w:val="FFFFFF"/>
                <w:sz w:val="17"/>
              </w:rPr>
              <w:t>Purpose</w:t>
            </w:r>
          </w:p>
        </w:tc>
        <w:tc>
          <w:tcPr>
            <w:tcW w:w="5616" w:type="dxa"/>
            <w:shd w:val="clear" w:color="auto" w:fill="0B3A63"/>
            <w:vAlign w:val="center"/>
          </w:tcPr>
          <w:p w14:paraId="55D9F6CD">
            <w:pPr>
              <w:spacing w:after="0" w:line="240" w:lineRule="auto"/>
            </w:pPr>
            <w:r>
              <w:rPr>
                <w:rFonts w:ascii="Aptos" w:hAnsi="Aptos"/>
                <w:b/>
                <w:color w:val="FFFFFF"/>
                <w:sz w:val="17"/>
              </w:rPr>
              <w:t>Typical Members</w:t>
            </w:r>
          </w:p>
        </w:tc>
      </w:tr>
      <w:tr w14:paraId="59AED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2F10EF35">
            <w:pPr>
              <w:spacing w:after="0" w:line="240" w:lineRule="auto"/>
            </w:pPr>
            <w:r>
              <w:rPr>
                <w:rFonts w:ascii="Aptos" w:hAnsi="Aptos"/>
                <w:b w:val="0"/>
                <w:sz w:val="16"/>
              </w:rPr>
              <w:t>10</w:t>
            </w:r>
          </w:p>
        </w:tc>
        <w:tc>
          <w:tcPr>
            <w:tcW w:w="3312" w:type="dxa"/>
            <w:vAlign w:val="center"/>
          </w:tcPr>
          <w:p w14:paraId="4F6B37A2">
            <w:pPr>
              <w:spacing w:after="0" w:line="240" w:lineRule="auto"/>
            </w:pPr>
            <w:r>
              <w:rPr>
                <w:rFonts w:ascii="Aptos" w:hAnsi="Aptos"/>
                <w:b w:val="0"/>
                <w:sz w:val="16"/>
              </w:rPr>
              <w:t>Infrastructure Management</w:t>
            </w:r>
          </w:p>
        </w:tc>
        <w:tc>
          <w:tcPr>
            <w:tcW w:w="5616" w:type="dxa"/>
            <w:vAlign w:val="center"/>
          </w:tcPr>
          <w:p w14:paraId="49724CA5">
            <w:pPr>
              <w:spacing w:after="0" w:line="240" w:lineRule="auto"/>
            </w:pPr>
            <w:r>
              <w:rPr>
                <w:rFonts w:ascii="Aptos" w:hAnsi="Aptos"/>
                <w:b w:val="0"/>
                <w:sz w:val="16"/>
              </w:rPr>
              <w:t>Hyper-V management, OOB management gateways, infrastructure tools</w:t>
            </w:r>
          </w:p>
        </w:tc>
      </w:tr>
      <w:tr w14:paraId="04EB5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7F9FB"/>
            <w:vAlign w:val="center"/>
          </w:tcPr>
          <w:p w14:paraId="0C1E5C13">
            <w:pPr>
              <w:spacing w:after="0" w:line="240" w:lineRule="auto"/>
            </w:pPr>
            <w:r>
              <w:rPr>
                <w:rFonts w:ascii="Aptos" w:hAnsi="Aptos"/>
                <w:b w:val="0"/>
                <w:sz w:val="16"/>
              </w:rPr>
              <w:t>20</w:t>
            </w:r>
          </w:p>
        </w:tc>
        <w:tc>
          <w:tcPr>
            <w:tcW w:w="3312" w:type="dxa"/>
            <w:shd w:val="clear" w:color="auto" w:fill="F7F9FB"/>
            <w:vAlign w:val="center"/>
          </w:tcPr>
          <w:p w14:paraId="6531D998">
            <w:pPr>
              <w:spacing w:after="0" w:line="240" w:lineRule="auto"/>
            </w:pPr>
            <w:r>
              <w:rPr>
                <w:rFonts w:ascii="Aptos" w:hAnsi="Aptos"/>
                <w:b w:val="0"/>
                <w:sz w:val="16"/>
              </w:rPr>
              <w:t>Hyper-V Cluster / Live Migration</w:t>
            </w:r>
          </w:p>
        </w:tc>
        <w:tc>
          <w:tcPr>
            <w:tcW w:w="5616" w:type="dxa"/>
            <w:shd w:val="clear" w:color="auto" w:fill="F7F9FB"/>
            <w:vAlign w:val="center"/>
          </w:tcPr>
          <w:p w14:paraId="0E46FC32">
            <w:pPr>
              <w:spacing w:after="0" w:line="240" w:lineRule="auto"/>
            </w:pPr>
            <w:r>
              <w:rPr>
                <w:rFonts w:ascii="Aptos" w:hAnsi="Aptos"/>
                <w:b w:val="0"/>
                <w:sz w:val="16"/>
              </w:rPr>
              <w:t>Cluster heartbeat and live migration</w:t>
            </w:r>
          </w:p>
        </w:tc>
      </w:tr>
      <w:tr w14:paraId="768B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7B78FF31">
            <w:pPr>
              <w:spacing w:after="0" w:line="240" w:lineRule="auto"/>
            </w:pPr>
            <w:r>
              <w:rPr>
                <w:rFonts w:ascii="Aptos" w:hAnsi="Aptos"/>
                <w:b w:val="0"/>
                <w:sz w:val="16"/>
              </w:rPr>
              <w:t>30</w:t>
            </w:r>
          </w:p>
        </w:tc>
        <w:tc>
          <w:tcPr>
            <w:tcW w:w="3312" w:type="dxa"/>
            <w:vAlign w:val="center"/>
          </w:tcPr>
          <w:p w14:paraId="0D1CD9DC">
            <w:pPr>
              <w:spacing w:after="0" w:line="240" w:lineRule="auto"/>
            </w:pPr>
            <w:r>
              <w:rPr>
                <w:rFonts w:ascii="Aptos" w:hAnsi="Aptos"/>
                <w:b w:val="0"/>
                <w:sz w:val="16"/>
              </w:rPr>
              <w:t>Storage / iSCSI</w:t>
            </w:r>
          </w:p>
        </w:tc>
        <w:tc>
          <w:tcPr>
            <w:tcW w:w="5616" w:type="dxa"/>
            <w:vAlign w:val="center"/>
          </w:tcPr>
          <w:p w14:paraId="709A0B87">
            <w:pPr>
              <w:spacing w:after="0" w:line="240" w:lineRule="auto"/>
            </w:pPr>
            <w:r>
              <w:rPr>
                <w:rFonts w:ascii="Aptos" w:hAnsi="Aptos"/>
                <w:b w:val="0"/>
                <w:sz w:val="16"/>
              </w:rPr>
              <w:t>Hyper-V hosts and SAN interfaces only</w:t>
            </w:r>
          </w:p>
        </w:tc>
      </w:tr>
      <w:tr w14:paraId="36998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7F9FB"/>
            <w:vAlign w:val="center"/>
          </w:tcPr>
          <w:p w14:paraId="1C1B56C0">
            <w:pPr>
              <w:spacing w:after="0" w:line="240" w:lineRule="auto"/>
            </w:pPr>
            <w:r>
              <w:rPr>
                <w:rFonts w:ascii="Aptos" w:hAnsi="Aptos"/>
                <w:b w:val="0"/>
                <w:sz w:val="16"/>
              </w:rPr>
              <w:t>40</w:t>
            </w:r>
          </w:p>
        </w:tc>
        <w:tc>
          <w:tcPr>
            <w:tcW w:w="3312" w:type="dxa"/>
            <w:shd w:val="clear" w:color="auto" w:fill="F7F9FB"/>
            <w:vAlign w:val="center"/>
          </w:tcPr>
          <w:p w14:paraId="55ADDE6C">
            <w:pPr>
              <w:spacing w:after="0" w:line="240" w:lineRule="auto"/>
            </w:pPr>
            <w:r>
              <w:rPr>
                <w:rFonts w:ascii="Aptos" w:hAnsi="Aptos"/>
                <w:b w:val="0"/>
                <w:sz w:val="16"/>
              </w:rPr>
              <w:t>Application</w:t>
            </w:r>
          </w:p>
        </w:tc>
        <w:tc>
          <w:tcPr>
            <w:tcW w:w="5616" w:type="dxa"/>
            <w:shd w:val="clear" w:color="auto" w:fill="F7F9FB"/>
            <w:vAlign w:val="center"/>
          </w:tcPr>
          <w:p w14:paraId="5F167BC1">
            <w:pPr>
              <w:spacing w:after="0" w:line="240" w:lineRule="auto"/>
            </w:pPr>
            <w:r>
              <w:rPr>
                <w:rFonts w:ascii="Aptos" w:hAnsi="Aptos"/>
                <w:b w:val="0"/>
                <w:sz w:val="16"/>
              </w:rPr>
              <w:t>Application and workflow servers</w:t>
            </w:r>
          </w:p>
        </w:tc>
      </w:tr>
      <w:tr w14:paraId="23C6C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7991C649">
            <w:pPr>
              <w:spacing w:after="0" w:line="240" w:lineRule="auto"/>
            </w:pPr>
            <w:r>
              <w:rPr>
                <w:rFonts w:ascii="Aptos" w:hAnsi="Aptos"/>
                <w:b w:val="0"/>
                <w:sz w:val="16"/>
              </w:rPr>
              <w:t>50</w:t>
            </w:r>
          </w:p>
        </w:tc>
        <w:tc>
          <w:tcPr>
            <w:tcW w:w="3312" w:type="dxa"/>
            <w:vAlign w:val="center"/>
          </w:tcPr>
          <w:p w14:paraId="0E4DFEBF">
            <w:pPr>
              <w:spacing w:after="0" w:line="240" w:lineRule="auto"/>
            </w:pPr>
            <w:r>
              <w:rPr>
                <w:rFonts w:ascii="Aptos" w:hAnsi="Aptos"/>
                <w:b w:val="0"/>
                <w:sz w:val="16"/>
              </w:rPr>
              <w:t>Database</w:t>
            </w:r>
          </w:p>
        </w:tc>
        <w:tc>
          <w:tcPr>
            <w:tcW w:w="5616" w:type="dxa"/>
            <w:vAlign w:val="center"/>
          </w:tcPr>
          <w:p w14:paraId="7D7121A0">
            <w:pPr>
              <w:spacing w:after="0" w:line="240" w:lineRule="auto"/>
            </w:pPr>
            <w:r>
              <w:rPr>
                <w:rFonts w:ascii="Aptos" w:hAnsi="Aptos"/>
                <w:b w:val="0"/>
                <w:sz w:val="16"/>
              </w:rPr>
              <w:t>Database servers / DB cluster</w:t>
            </w:r>
          </w:p>
        </w:tc>
      </w:tr>
      <w:tr w14:paraId="516C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7F9FB"/>
            <w:vAlign w:val="center"/>
          </w:tcPr>
          <w:p w14:paraId="14C50B51">
            <w:pPr>
              <w:spacing w:after="0" w:line="240" w:lineRule="auto"/>
            </w:pPr>
            <w:r>
              <w:rPr>
                <w:rFonts w:ascii="Aptos" w:hAnsi="Aptos"/>
                <w:b w:val="0"/>
                <w:sz w:val="16"/>
              </w:rPr>
              <w:t>60</w:t>
            </w:r>
          </w:p>
        </w:tc>
        <w:tc>
          <w:tcPr>
            <w:tcW w:w="3312" w:type="dxa"/>
            <w:shd w:val="clear" w:color="auto" w:fill="F7F9FB"/>
            <w:vAlign w:val="center"/>
          </w:tcPr>
          <w:p w14:paraId="63E033D6">
            <w:pPr>
              <w:spacing w:after="0" w:line="240" w:lineRule="auto"/>
            </w:pPr>
            <w:r>
              <w:rPr>
                <w:rFonts w:ascii="Aptos" w:hAnsi="Aptos"/>
                <w:b w:val="0"/>
                <w:sz w:val="16"/>
              </w:rPr>
              <w:t>Machine Control / Personalization</w:t>
            </w:r>
          </w:p>
        </w:tc>
        <w:tc>
          <w:tcPr>
            <w:tcW w:w="5616" w:type="dxa"/>
            <w:shd w:val="clear" w:color="auto" w:fill="F7F9FB"/>
            <w:vAlign w:val="center"/>
          </w:tcPr>
          <w:p w14:paraId="1D4D189D">
            <w:pPr>
              <w:spacing w:after="0" w:line="240" w:lineRule="auto"/>
            </w:pPr>
            <w:r>
              <w:rPr>
                <w:rFonts w:ascii="Aptos" w:hAnsi="Aptos"/>
                <w:b w:val="0"/>
                <w:sz w:val="16"/>
              </w:rPr>
              <w:t>Industrial control and personalization systems</w:t>
            </w:r>
          </w:p>
        </w:tc>
      </w:tr>
      <w:tr w14:paraId="3953F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3298C011">
            <w:pPr>
              <w:spacing w:after="0" w:line="240" w:lineRule="auto"/>
            </w:pPr>
            <w:r>
              <w:rPr>
                <w:rFonts w:ascii="Aptos" w:hAnsi="Aptos"/>
                <w:b w:val="0"/>
                <w:sz w:val="16"/>
              </w:rPr>
              <w:t>70</w:t>
            </w:r>
          </w:p>
        </w:tc>
        <w:tc>
          <w:tcPr>
            <w:tcW w:w="3312" w:type="dxa"/>
            <w:vAlign w:val="center"/>
          </w:tcPr>
          <w:p w14:paraId="3C6C452B">
            <w:pPr>
              <w:spacing w:after="0" w:line="240" w:lineRule="auto"/>
            </w:pPr>
            <w:r>
              <w:rPr>
                <w:rFonts w:ascii="Aptos" w:hAnsi="Aptos"/>
                <w:b w:val="0"/>
                <w:sz w:val="16"/>
              </w:rPr>
              <w:t>Management &amp; Monitoring</w:t>
            </w:r>
          </w:p>
        </w:tc>
        <w:tc>
          <w:tcPr>
            <w:tcW w:w="5616" w:type="dxa"/>
            <w:vAlign w:val="center"/>
          </w:tcPr>
          <w:p w14:paraId="6F548DD1">
            <w:pPr>
              <w:spacing w:after="0" w:line="240" w:lineRule="auto"/>
            </w:pPr>
            <w:r>
              <w:rPr>
                <w:rFonts w:ascii="Aptos" w:hAnsi="Aptos"/>
                <w:b w:val="0"/>
                <w:sz w:val="16"/>
              </w:rPr>
              <w:t>Monitoring, administration, SIEM integrations</w:t>
            </w:r>
          </w:p>
        </w:tc>
      </w:tr>
      <w:tr w14:paraId="5D58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7F9FB"/>
            <w:vAlign w:val="center"/>
          </w:tcPr>
          <w:p w14:paraId="6E8A9E80">
            <w:pPr>
              <w:spacing w:after="0" w:line="240" w:lineRule="auto"/>
            </w:pPr>
            <w:r>
              <w:rPr>
                <w:rFonts w:ascii="Aptos" w:hAnsi="Aptos"/>
                <w:b w:val="0"/>
                <w:sz w:val="16"/>
              </w:rPr>
              <w:t>80</w:t>
            </w:r>
          </w:p>
        </w:tc>
        <w:tc>
          <w:tcPr>
            <w:tcW w:w="3312" w:type="dxa"/>
            <w:shd w:val="clear" w:color="auto" w:fill="F7F9FB"/>
            <w:vAlign w:val="center"/>
          </w:tcPr>
          <w:p w14:paraId="281229D4">
            <w:pPr>
              <w:spacing w:after="0" w:line="240" w:lineRule="auto"/>
            </w:pPr>
            <w:r>
              <w:rPr>
                <w:rFonts w:ascii="Aptos" w:hAnsi="Aptos"/>
                <w:b w:val="0"/>
                <w:sz w:val="16"/>
              </w:rPr>
              <w:t>Users / Operators</w:t>
            </w:r>
          </w:p>
        </w:tc>
        <w:tc>
          <w:tcPr>
            <w:tcW w:w="5616" w:type="dxa"/>
            <w:shd w:val="clear" w:color="auto" w:fill="F7F9FB"/>
            <w:vAlign w:val="center"/>
          </w:tcPr>
          <w:p w14:paraId="2D6A6A5E">
            <w:pPr>
              <w:spacing w:after="0" w:line="240" w:lineRule="auto"/>
            </w:pPr>
            <w:r>
              <w:rPr>
                <w:rFonts w:ascii="Aptos" w:hAnsi="Aptos"/>
                <w:b w:val="0"/>
                <w:sz w:val="16"/>
              </w:rPr>
              <w:t>Authorized operator and administrative workstations</w:t>
            </w:r>
          </w:p>
        </w:tc>
      </w:tr>
      <w:tr w14:paraId="02E0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0072470D">
            <w:pPr>
              <w:spacing w:after="0" w:line="240" w:lineRule="auto"/>
            </w:pPr>
            <w:r>
              <w:rPr>
                <w:rFonts w:ascii="Aptos" w:hAnsi="Aptos"/>
                <w:b w:val="0"/>
                <w:sz w:val="16"/>
              </w:rPr>
              <w:t>90</w:t>
            </w:r>
          </w:p>
        </w:tc>
        <w:tc>
          <w:tcPr>
            <w:tcW w:w="3312" w:type="dxa"/>
            <w:vAlign w:val="center"/>
          </w:tcPr>
          <w:p w14:paraId="0B997006">
            <w:pPr>
              <w:spacing w:after="0" w:line="240" w:lineRule="auto"/>
            </w:pPr>
            <w:r>
              <w:rPr>
                <w:rFonts w:ascii="Aptos" w:hAnsi="Aptos"/>
                <w:b w:val="0"/>
                <w:sz w:val="16"/>
              </w:rPr>
              <w:t>Backup</w:t>
            </w:r>
          </w:p>
        </w:tc>
        <w:tc>
          <w:tcPr>
            <w:tcW w:w="5616" w:type="dxa"/>
            <w:vAlign w:val="center"/>
          </w:tcPr>
          <w:p w14:paraId="32908E5D">
            <w:pPr>
              <w:spacing w:after="0" w:line="240" w:lineRule="auto"/>
            </w:pPr>
            <w:r>
              <w:rPr>
                <w:rFonts w:ascii="Aptos" w:hAnsi="Aptos"/>
                <w:b w:val="0"/>
                <w:sz w:val="16"/>
              </w:rPr>
              <w:t>Veeam server, proxies and repositories</w:t>
            </w:r>
          </w:p>
        </w:tc>
      </w:tr>
      <w:tr w14:paraId="2FDBE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7F9FB"/>
            <w:vAlign w:val="center"/>
          </w:tcPr>
          <w:p w14:paraId="6026AB67">
            <w:pPr>
              <w:spacing w:after="0" w:line="240" w:lineRule="auto"/>
            </w:pPr>
            <w:r>
              <w:rPr>
                <w:rFonts w:ascii="Aptos" w:hAnsi="Aptos"/>
                <w:b w:val="0"/>
                <w:sz w:val="16"/>
              </w:rPr>
              <w:t>100</w:t>
            </w:r>
          </w:p>
        </w:tc>
        <w:tc>
          <w:tcPr>
            <w:tcW w:w="3312" w:type="dxa"/>
            <w:shd w:val="clear" w:color="auto" w:fill="F7F9FB"/>
            <w:vAlign w:val="center"/>
          </w:tcPr>
          <w:p w14:paraId="313FD10B">
            <w:pPr>
              <w:spacing w:after="0" w:line="240" w:lineRule="auto"/>
            </w:pPr>
            <w:r>
              <w:rPr>
                <w:rFonts w:ascii="Aptos" w:hAnsi="Aptos"/>
                <w:b w:val="0"/>
                <w:sz w:val="16"/>
              </w:rPr>
              <w:t>DMZ / External Integration</w:t>
            </w:r>
          </w:p>
        </w:tc>
        <w:tc>
          <w:tcPr>
            <w:tcW w:w="5616" w:type="dxa"/>
            <w:shd w:val="clear" w:color="auto" w:fill="F7F9FB"/>
            <w:vAlign w:val="center"/>
          </w:tcPr>
          <w:p w14:paraId="0494C784">
            <w:pPr>
              <w:spacing w:after="0" w:line="240" w:lineRule="auto"/>
            </w:pPr>
            <w:r>
              <w:rPr>
                <w:rFonts w:ascii="Aptos" w:hAnsi="Aptos"/>
                <w:b w:val="0"/>
                <w:sz w:val="16"/>
              </w:rPr>
              <w:t>Reverse proxy, API/integration gateways</w:t>
            </w:r>
          </w:p>
        </w:tc>
      </w:tr>
    </w:tbl>
    <w:p w14:paraId="6ECC7821">
      <w:pPr>
        <w:spacing w:after="20"/>
      </w:pPr>
    </w:p>
    <w:p w14:paraId="43AA3D9E">
      <w:pPr>
        <w:pStyle w:val="3"/>
      </w:pPr>
      <w:r>
        <w:t>3.4 Edge Access Switch</w:t>
      </w:r>
    </w:p>
    <w:p w14:paraId="3F26F96A">
      <w:r>
        <w:t>For the currently identified small user/operator requirement, one managed 24-port PoE+ access switch is a practical baseline. It provides spare capacity for workstations, printers, IP phones, access points or management devices. If user access is operationally critical, a second access switch or stack should be included to remove the access-layer single point of failure.</w:t>
      </w:r>
    </w:p>
    <w:p w14:paraId="02328DD6">
      <w:r>
        <w:br w:type="page"/>
      </w:r>
    </w:p>
    <w:p w14:paraId="7F8D5D79">
      <w:pPr>
        <w:pStyle w:val="2"/>
      </w:pPr>
      <w:r>
        <w:t>4. Disaster Recovery Site</w:t>
      </w:r>
    </w:p>
    <w:p w14:paraId="03E80F32">
      <w:r>
        <w:t>The DR site is designed as an independent recovery environment rather than an extension of the same failure domain. It should have independent power, network/security connectivity, compute, storage and backup capacity sufficient to recover the defined critical services.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3458"/>
        <w:gridCol w:w="4822"/>
      </w:tblGrid>
      <w:tr w14:paraId="5A725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B3A63"/>
            <w:vAlign w:val="center"/>
          </w:tcPr>
          <w:p w14:paraId="1DB0C171">
            <w:pPr>
              <w:spacing w:after="0" w:line="240" w:lineRule="auto"/>
            </w:pPr>
            <w:r>
              <w:rPr>
                <w:rFonts w:ascii="Aptos" w:hAnsi="Aptos"/>
                <w:b/>
                <w:color w:val="FFFFFF"/>
                <w:sz w:val="17"/>
              </w:rPr>
              <w:t>DR Component</w:t>
            </w:r>
          </w:p>
        </w:tc>
        <w:tc>
          <w:tcPr>
            <w:tcW w:w="3600" w:type="dxa"/>
            <w:shd w:val="clear" w:color="auto" w:fill="0B3A63"/>
            <w:vAlign w:val="center"/>
          </w:tcPr>
          <w:p w14:paraId="4E0D6A0D">
            <w:pPr>
              <w:spacing w:after="0" w:line="240" w:lineRule="auto"/>
            </w:pPr>
            <w:r>
              <w:rPr>
                <w:rFonts w:ascii="Aptos" w:hAnsi="Aptos"/>
                <w:b/>
                <w:color w:val="FFFFFF"/>
                <w:sz w:val="17"/>
              </w:rPr>
              <w:t>Proposed Baseline</w:t>
            </w:r>
          </w:p>
        </w:tc>
        <w:tc>
          <w:tcPr>
            <w:tcW w:w="5040" w:type="dxa"/>
            <w:shd w:val="clear" w:color="auto" w:fill="0B3A63"/>
            <w:vAlign w:val="center"/>
          </w:tcPr>
          <w:p w14:paraId="54C6F02B">
            <w:pPr>
              <w:spacing w:after="0" w:line="240" w:lineRule="auto"/>
            </w:pPr>
            <w:r>
              <w:rPr>
                <w:rFonts w:ascii="Aptos" w:hAnsi="Aptos"/>
                <w:b/>
                <w:color w:val="FFFFFF"/>
                <w:sz w:val="17"/>
              </w:rPr>
              <w:t>Notes</w:t>
            </w:r>
          </w:p>
        </w:tc>
      </w:tr>
      <w:tr w14:paraId="127AE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992C4B9">
            <w:pPr>
              <w:spacing w:after="0" w:line="240" w:lineRule="auto"/>
            </w:pPr>
            <w:r>
              <w:rPr>
                <w:rFonts w:ascii="Aptos" w:hAnsi="Aptos"/>
                <w:b w:val="0"/>
                <w:sz w:val="16"/>
              </w:rPr>
              <w:t>DR Hyper-V cluster</w:t>
            </w:r>
          </w:p>
        </w:tc>
        <w:tc>
          <w:tcPr>
            <w:tcW w:w="3600" w:type="dxa"/>
            <w:vAlign w:val="center"/>
          </w:tcPr>
          <w:p w14:paraId="1B99AD73">
            <w:pPr>
              <w:spacing w:after="0" w:line="240" w:lineRule="auto"/>
            </w:pPr>
            <w:r>
              <w:rPr>
                <w:rFonts w:ascii="Aptos" w:hAnsi="Aptos"/>
                <w:b w:val="0"/>
                <w:sz w:val="16"/>
              </w:rPr>
              <w:t>2 × enterprise servers</w:t>
            </w:r>
          </w:p>
        </w:tc>
        <w:tc>
          <w:tcPr>
            <w:tcW w:w="5040" w:type="dxa"/>
            <w:vAlign w:val="center"/>
          </w:tcPr>
          <w:p w14:paraId="09E7B323">
            <w:pPr>
              <w:spacing w:after="0" w:line="240" w:lineRule="auto"/>
            </w:pPr>
            <w:r>
              <w:rPr>
                <w:rFonts w:ascii="Aptos" w:hAnsi="Aptos"/>
                <w:b w:val="0"/>
                <w:sz w:val="16"/>
              </w:rPr>
              <w:t>Prefer same or compatible architecture as production; target Hyper-V version equal to or newer than source for Veeam replication.</w:t>
            </w:r>
          </w:p>
        </w:tc>
      </w:tr>
      <w:tr w14:paraId="424F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7F9FB"/>
            <w:vAlign w:val="center"/>
          </w:tcPr>
          <w:p w14:paraId="54E603CA">
            <w:pPr>
              <w:spacing w:after="0" w:line="240" w:lineRule="auto"/>
            </w:pPr>
            <w:r>
              <w:rPr>
                <w:rFonts w:ascii="Aptos" w:hAnsi="Aptos"/>
                <w:b w:val="0"/>
                <w:sz w:val="16"/>
              </w:rPr>
              <w:t>DR SAN</w:t>
            </w:r>
          </w:p>
        </w:tc>
        <w:tc>
          <w:tcPr>
            <w:tcW w:w="3600" w:type="dxa"/>
            <w:shd w:val="clear" w:color="auto" w:fill="F7F9FB"/>
            <w:vAlign w:val="center"/>
          </w:tcPr>
          <w:p w14:paraId="27738AC1">
            <w:pPr>
              <w:spacing w:after="0" w:line="240" w:lineRule="auto"/>
            </w:pPr>
            <w:r>
              <w:rPr>
                <w:rFonts w:ascii="Aptos" w:hAnsi="Aptos"/>
                <w:b w:val="0"/>
                <w:sz w:val="16"/>
              </w:rPr>
              <w:t>1 × dual-controller SAN</w:t>
            </w:r>
          </w:p>
        </w:tc>
        <w:tc>
          <w:tcPr>
            <w:tcW w:w="5040" w:type="dxa"/>
            <w:shd w:val="clear" w:color="auto" w:fill="F7F9FB"/>
            <w:vAlign w:val="center"/>
          </w:tcPr>
          <w:p w14:paraId="12058077">
            <w:pPr>
              <w:spacing w:after="0" w:line="240" w:lineRule="auto"/>
            </w:pPr>
            <w:r>
              <w:rPr>
                <w:rFonts w:ascii="Aptos" w:hAnsi="Aptos"/>
                <w:b w:val="0"/>
                <w:sz w:val="16"/>
              </w:rPr>
              <w:t>Sized for replicated critical VMs plus recovery working space and growth.</w:t>
            </w:r>
          </w:p>
        </w:tc>
      </w:tr>
      <w:tr w14:paraId="6701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9511A89">
            <w:pPr>
              <w:spacing w:after="0" w:line="240" w:lineRule="auto"/>
            </w:pPr>
            <w:r>
              <w:rPr>
                <w:rFonts w:ascii="Aptos" w:hAnsi="Aptos"/>
                <w:b w:val="0"/>
                <w:sz w:val="16"/>
              </w:rPr>
              <w:t>DR core switches</w:t>
            </w:r>
          </w:p>
        </w:tc>
        <w:tc>
          <w:tcPr>
            <w:tcW w:w="3600" w:type="dxa"/>
            <w:vAlign w:val="center"/>
          </w:tcPr>
          <w:p w14:paraId="07348BF2">
            <w:pPr>
              <w:spacing w:after="0" w:line="240" w:lineRule="auto"/>
            </w:pPr>
            <w:r>
              <w:rPr>
                <w:rFonts w:ascii="Aptos" w:hAnsi="Aptos"/>
                <w:b w:val="0"/>
                <w:sz w:val="16"/>
              </w:rPr>
              <w:t>2 × redundant L3 switches</w:t>
            </w:r>
          </w:p>
        </w:tc>
        <w:tc>
          <w:tcPr>
            <w:tcW w:w="5040" w:type="dxa"/>
            <w:vAlign w:val="center"/>
          </w:tcPr>
          <w:p w14:paraId="7097A661">
            <w:pPr>
              <w:spacing w:after="0" w:line="240" w:lineRule="auto"/>
            </w:pPr>
            <w:r>
              <w:rPr>
                <w:rFonts w:ascii="Aptos" w:hAnsi="Aptos"/>
                <w:b w:val="0"/>
                <w:sz w:val="16"/>
              </w:rPr>
              <w:t>Independent resilient switching.</w:t>
            </w:r>
          </w:p>
        </w:tc>
      </w:tr>
      <w:tr w14:paraId="4D6B9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7F9FB"/>
            <w:vAlign w:val="center"/>
          </w:tcPr>
          <w:p w14:paraId="16609083">
            <w:pPr>
              <w:spacing w:after="0" w:line="240" w:lineRule="auto"/>
            </w:pPr>
            <w:r>
              <w:rPr>
                <w:rFonts w:ascii="Aptos" w:hAnsi="Aptos"/>
                <w:b w:val="0"/>
                <w:sz w:val="16"/>
              </w:rPr>
              <w:t>DR firewall</w:t>
            </w:r>
          </w:p>
        </w:tc>
        <w:tc>
          <w:tcPr>
            <w:tcW w:w="3600" w:type="dxa"/>
            <w:shd w:val="clear" w:color="auto" w:fill="F7F9FB"/>
            <w:vAlign w:val="center"/>
          </w:tcPr>
          <w:p w14:paraId="24726A32">
            <w:pPr>
              <w:spacing w:after="0" w:line="240" w:lineRule="auto"/>
            </w:pPr>
            <w:r>
              <w:rPr>
                <w:rFonts w:ascii="Aptos" w:hAnsi="Aptos"/>
                <w:b w:val="0"/>
                <w:sz w:val="16"/>
              </w:rPr>
              <w:t>1 HA pair preferred / minimum appropriately resilient NGFW design</w:t>
            </w:r>
          </w:p>
        </w:tc>
        <w:tc>
          <w:tcPr>
            <w:tcW w:w="5040" w:type="dxa"/>
            <w:shd w:val="clear" w:color="auto" w:fill="F7F9FB"/>
            <w:vAlign w:val="center"/>
          </w:tcPr>
          <w:p w14:paraId="01E51367">
            <w:pPr>
              <w:spacing w:after="0" w:line="240" w:lineRule="auto"/>
            </w:pPr>
            <w:r>
              <w:rPr>
                <w:rFonts w:ascii="Aptos" w:hAnsi="Aptos"/>
                <w:b w:val="0"/>
                <w:sz w:val="16"/>
              </w:rPr>
              <w:t>Terminates secure site connectivity and enforces DR segmentation.</w:t>
            </w:r>
          </w:p>
        </w:tc>
      </w:tr>
      <w:tr w14:paraId="7B15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1490214">
            <w:pPr>
              <w:spacing w:after="0" w:line="240" w:lineRule="auto"/>
            </w:pPr>
            <w:r>
              <w:rPr>
                <w:rFonts w:ascii="Aptos" w:hAnsi="Aptos"/>
                <w:b w:val="0"/>
                <w:sz w:val="16"/>
              </w:rPr>
              <w:t>DR backup repository</w:t>
            </w:r>
          </w:p>
        </w:tc>
        <w:tc>
          <w:tcPr>
            <w:tcW w:w="3600" w:type="dxa"/>
            <w:vAlign w:val="center"/>
          </w:tcPr>
          <w:p w14:paraId="0EB97B4B">
            <w:pPr>
              <w:spacing w:line="240" w:lineRule="auto"/>
            </w:pPr>
            <w:r>
              <w:t>1 physical system</w:t>
            </w:r>
          </w:p>
        </w:tc>
        <w:tc>
          <w:tcPr>
            <w:tcW w:w="5040" w:type="dxa"/>
            <w:vAlign w:val="center"/>
          </w:tcPr>
          <w:p w14:paraId="157EADDF">
            <w:pPr>
              <w:spacing w:line="240" w:lineRule="auto"/>
            </w:pPr>
            <w:r>
              <w:t>Independent physical off-site repository at DR for backup copies and recovery</w:t>
            </w:r>
          </w:p>
        </w:tc>
      </w:tr>
      <w:tr w14:paraId="6764A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7F9FB"/>
            <w:vAlign w:val="center"/>
          </w:tcPr>
          <w:p w14:paraId="2201F2A2">
            <w:pPr>
              <w:spacing w:after="0" w:line="240" w:lineRule="auto"/>
            </w:pPr>
            <w:r>
              <w:rPr>
                <w:rFonts w:ascii="Aptos" w:hAnsi="Aptos"/>
                <w:b w:val="0"/>
                <w:sz w:val="16"/>
              </w:rPr>
              <w:t>WAN</w:t>
            </w:r>
          </w:p>
        </w:tc>
        <w:tc>
          <w:tcPr>
            <w:tcW w:w="3600" w:type="dxa"/>
            <w:shd w:val="clear" w:color="auto" w:fill="F7F9FB"/>
            <w:vAlign w:val="center"/>
          </w:tcPr>
          <w:p w14:paraId="40803227">
            <w:pPr>
              <w:spacing w:after="0" w:line="240" w:lineRule="auto"/>
            </w:pPr>
            <w:r>
              <w:rPr>
                <w:rFonts w:ascii="Aptos" w:hAnsi="Aptos"/>
                <w:b w:val="0"/>
                <w:sz w:val="16"/>
              </w:rPr>
              <w:t>MPLS/SD-WAN or encrypted VPN</w:t>
            </w:r>
          </w:p>
        </w:tc>
        <w:tc>
          <w:tcPr>
            <w:tcW w:w="5040" w:type="dxa"/>
            <w:shd w:val="clear" w:color="auto" w:fill="F7F9FB"/>
            <w:vAlign w:val="center"/>
          </w:tcPr>
          <w:p w14:paraId="1B853FCD">
            <w:pPr>
              <w:spacing w:after="0" w:line="240" w:lineRule="auto"/>
            </w:pPr>
            <w:r>
              <w:rPr>
                <w:rFonts w:ascii="Aptos" w:hAnsi="Aptos"/>
                <w:b w:val="0"/>
                <w:sz w:val="16"/>
              </w:rPr>
              <w:t>Bandwidth sized from change rate, replication interval and backup-copy window.</w:t>
            </w:r>
          </w:p>
        </w:tc>
      </w:tr>
    </w:tbl>
    <w:p w14:paraId="515D44EF">
      <w:pPr>
        <w:spacing w:after="20"/>
      </w:pPr>
    </w:p>
    <w:p w14:paraId="58B5BB77">
      <w:pPr>
        <w:pStyle w:val="3"/>
      </w:pPr>
      <w:r>
        <w:t>4.1 DR Recovery Tiers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3"/>
        <w:gridCol w:w="2715"/>
        <w:gridCol w:w="4092"/>
        <w:gridCol w:w="2112"/>
      </w:tblGrid>
      <w:tr w14:paraId="1ACB9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0B3A63"/>
            <w:vAlign w:val="center"/>
          </w:tcPr>
          <w:p w14:paraId="79CA6E2A">
            <w:pPr>
              <w:spacing w:after="0" w:line="240" w:lineRule="auto"/>
            </w:pPr>
            <w:r>
              <w:rPr>
                <w:rFonts w:ascii="Aptos" w:hAnsi="Aptos"/>
                <w:b/>
                <w:color w:val="FFFFFF"/>
                <w:sz w:val="17"/>
              </w:rPr>
              <w:t>Tier</w:t>
            </w:r>
          </w:p>
        </w:tc>
        <w:tc>
          <w:tcPr>
            <w:tcW w:w="3456" w:type="dxa"/>
            <w:shd w:val="clear" w:color="auto" w:fill="0B3A63"/>
            <w:vAlign w:val="center"/>
          </w:tcPr>
          <w:p w14:paraId="7F0FE2AF">
            <w:pPr>
              <w:spacing w:after="0" w:line="240" w:lineRule="auto"/>
            </w:pPr>
            <w:r>
              <w:rPr>
                <w:rFonts w:ascii="Aptos" w:hAnsi="Aptos"/>
                <w:b/>
                <w:color w:val="FFFFFF"/>
                <w:sz w:val="17"/>
              </w:rPr>
              <w:t>Example Workloads</w:t>
            </w:r>
          </w:p>
        </w:tc>
        <w:tc>
          <w:tcPr>
            <w:tcW w:w="5616" w:type="dxa"/>
            <w:shd w:val="clear" w:color="auto" w:fill="0B3A63"/>
            <w:vAlign w:val="center"/>
          </w:tcPr>
          <w:p w14:paraId="355ACD78">
            <w:pPr>
              <w:spacing w:after="0" w:line="240" w:lineRule="auto"/>
            </w:pPr>
            <w:r>
              <w:rPr>
                <w:rFonts w:ascii="Aptos" w:hAnsi="Aptos"/>
                <w:b/>
                <w:color w:val="FFFFFF"/>
                <w:sz w:val="17"/>
              </w:rPr>
              <w:t>Target Design</w:t>
            </w:r>
          </w:p>
        </w:tc>
        <w:tc>
          <w:tcPr>
            <w:tcW w:w="2541" w:type="dxa"/>
            <w:shd w:val="clear" w:color="auto" w:fill="0B3A63"/>
            <w:vAlign w:val="center"/>
          </w:tcPr>
          <w:p w14:paraId="46B87ECE">
            <w:pPr>
              <w:spacing w:after="0" w:line="240" w:lineRule="auto"/>
            </w:pPr>
            <w:r>
              <w:rPr>
                <w:rFonts w:ascii="Aptos" w:hAnsi="Aptos"/>
                <w:b/>
                <w:color w:val="FFFFFF"/>
                <w:sz w:val="17"/>
              </w:rPr>
              <w:t>Comment</w:t>
            </w:r>
          </w:p>
        </w:tc>
      </w:tr>
      <w:tr w14:paraId="1B189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1E40520C">
            <w:pPr>
              <w:spacing w:after="0" w:line="240" w:lineRule="auto"/>
            </w:pPr>
            <w:r>
              <w:rPr>
                <w:rFonts w:ascii="Aptos" w:hAnsi="Aptos"/>
                <w:b w:val="0"/>
                <w:sz w:val="16"/>
              </w:rPr>
              <w:t>Tier 1 – Critical</w:t>
            </w:r>
          </w:p>
        </w:tc>
        <w:tc>
          <w:tcPr>
            <w:tcW w:w="3456" w:type="dxa"/>
            <w:vAlign w:val="center"/>
          </w:tcPr>
          <w:p w14:paraId="669816C3">
            <w:pPr>
              <w:spacing w:after="0" w:line="240" w:lineRule="auto"/>
            </w:pPr>
            <w:r>
              <w:rPr>
                <w:rFonts w:ascii="Aptos" w:hAnsi="Aptos"/>
                <w:b w:val="0"/>
                <w:sz w:val="16"/>
              </w:rPr>
              <w:t>Database, core application, integration required for production</w:t>
            </w:r>
          </w:p>
        </w:tc>
        <w:tc>
          <w:tcPr>
            <w:tcW w:w="5616" w:type="dxa"/>
            <w:vAlign w:val="center"/>
          </w:tcPr>
          <w:p w14:paraId="5BC6E379">
            <w:pPr>
              <w:spacing w:after="0" w:line="240" w:lineRule="auto"/>
            </w:pPr>
            <w:r>
              <w:rPr>
                <w:rFonts w:ascii="Aptos" w:hAnsi="Aptos"/>
                <w:b w:val="0"/>
                <w:sz w:val="16"/>
              </w:rPr>
              <w:t>Near-real-time / ≤5 min replication target where technically supported</w:t>
            </w:r>
          </w:p>
        </w:tc>
        <w:tc>
          <w:tcPr>
            <w:tcW w:w="2541" w:type="dxa"/>
            <w:vAlign w:val="center"/>
          </w:tcPr>
          <w:p w14:paraId="71832F6E">
            <w:pPr>
              <w:spacing w:after="0" w:line="240" w:lineRule="auto"/>
            </w:pPr>
            <w:r>
              <w:rPr>
                <w:rFonts w:ascii="Aptos" w:hAnsi="Aptos"/>
                <w:b w:val="0"/>
                <w:sz w:val="16"/>
              </w:rPr>
              <w:t>Must be validated against application consistency and WAN capacity.</w:t>
            </w:r>
          </w:p>
        </w:tc>
      </w:tr>
      <w:tr w14:paraId="6595E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7F9FB"/>
            <w:vAlign w:val="center"/>
          </w:tcPr>
          <w:p w14:paraId="44FE231B">
            <w:pPr>
              <w:spacing w:after="0" w:line="240" w:lineRule="auto"/>
            </w:pPr>
            <w:r>
              <w:rPr>
                <w:rFonts w:ascii="Aptos" w:hAnsi="Aptos"/>
                <w:b w:val="0"/>
                <w:sz w:val="16"/>
              </w:rPr>
              <w:t>Tier 2 – Important</w:t>
            </w:r>
          </w:p>
        </w:tc>
        <w:tc>
          <w:tcPr>
            <w:tcW w:w="3456" w:type="dxa"/>
            <w:shd w:val="clear" w:color="auto" w:fill="F7F9FB"/>
            <w:vAlign w:val="center"/>
          </w:tcPr>
          <w:p w14:paraId="53A39308">
            <w:pPr>
              <w:spacing w:after="0" w:line="240" w:lineRule="auto"/>
            </w:pPr>
            <w:r>
              <w:rPr>
                <w:rFonts w:ascii="Aptos" w:hAnsi="Aptos"/>
                <w:b w:val="0"/>
                <w:sz w:val="16"/>
              </w:rPr>
              <w:t>Management, monitoring, supporting application services</w:t>
            </w:r>
          </w:p>
        </w:tc>
        <w:tc>
          <w:tcPr>
            <w:tcW w:w="5616" w:type="dxa"/>
            <w:shd w:val="clear" w:color="auto" w:fill="F7F9FB"/>
            <w:vAlign w:val="center"/>
          </w:tcPr>
          <w:p w14:paraId="0C27D007">
            <w:pPr>
              <w:spacing w:after="0" w:line="240" w:lineRule="auto"/>
            </w:pPr>
            <w:r>
              <w:rPr>
                <w:rFonts w:ascii="Aptos" w:hAnsi="Aptos"/>
                <w:b w:val="0"/>
                <w:sz w:val="16"/>
              </w:rPr>
              <w:t>Frequent replication / backup copy</w:t>
            </w:r>
          </w:p>
        </w:tc>
        <w:tc>
          <w:tcPr>
            <w:tcW w:w="2541" w:type="dxa"/>
            <w:shd w:val="clear" w:color="auto" w:fill="F7F9FB"/>
            <w:vAlign w:val="center"/>
          </w:tcPr>
          <w:p w14:paraId="31F95162">
            <w:pPr>
              <w:spacing w:after="0" w:line="240" w:lineRule="auto"/>
            </w:pPr>
            <w:r>
              <w:rPr>
                <w:rFonts w:ascii="Aptos" w:hAnsi="Aptos"/>
                <w:b w:val="0"/>
                <w:sz w:val="16"/>
              </w:rPr>
              <w:t>Recover after Tier 1 dependencies.</w:t>
            </w:r>
          </w:p>
        </w:tc>
      </w:tr>
      <w:tr w14:paraId="1DDEC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149F02C0">
            <w:pPr>
              <w:spacing w:after="0" w:line="240" w:lineRule="auto"/>
            </w:pPr>
            <w:r>
              <w:rPr>
                <w:rFonts w:ascii="Aptos" w:hAnsi="Aptos"/>
                <w:b w:val="0"/>
                <w:sz w:val="16"/>
              </w:rPr>
              <w:t>Tier 3 – Non-critical</w:t>
            </w:r>
          </w:p>
        </w:tc>
        <w:tc>
          <w:tcPr>
            <w:tcW w:w="3456" w:type="dxa"/>
            <w:vAlign w:val="center"/>
          </w:tcPr>
          <w:p w14:paraId="6BE9D980">
            <w:pPr>
              <w:spacing w:after="0" w:line="240" w:lineRule="auto"/>
            </w:pPr>
            <w:r>
              <w:rPr>
                <w:rFonts w:ascii="Aptos" w:hAnsi="Aptos"/>
                <w:b w:val="0"/>
                <w:sz w:val="16"/>
              </w:rPr>
              <w:t>Reporting, test, utility services</w:t>
            </w:r>
          </w:p>
        </w:tc>
        <w:tc>
          <w:tcPr>
            <w:tcW w:w="5616" w:type="dxa"/>
            <w:vAlign w:val="center"/>
          </w:tcPr>
          <w:p w14:paraId="5C52EB3D">
            <w:pPr>
              <w:spacing w:after="0" w:line="240" w:lineRule="auto"/>
            </w:pPr>
            <w:r>
              <w:rPr>
                <w:rFonts w:ascii="Aptos" w:hAnsi="Aptos"/>
                <w:b w:val="0"/>
                <w:sz w:val="16"/>
              </w:rPr>
              <w:t>Backup-based recovery</w:t>
            </w:r>
          </w:p>
        </w:tc>
        <w:tc>
          <w:tcPr>
            <w:tcW w:w="2541" w:type="dxa"/>
            <w:vAlign w:val="center"/>
          </w:tcPr>
          <w:p w14:paraId="04B1DE64">
            <w:pPr>
              <w:spacing w:after="0" w:line="240" w:lineRule="auto"/>
            </w:pPr>
            <w:r>
              <w:rPr>
                <w:rFonts w:ascii="Aptos" w:hAnsi="Aptos"/>
                <w:b w:val="0"/>
                <w:sz w:val="16"/>
              </w:rPr>
              <w:t>Can tolerate longer restoration window.</w:t>
            </w:r>
          </w:p>
        </w:tc>
      </w:tr>
    </w:tbl>
    <w:p w14:paraId="448E8687">
      <w:pPr>
        <w:spacing w:after="20"/>
      </w:pPr>
    </w:p>
    <w:p w14:paraId="45A0AE0B">
      <w:pPr>
        <w:pStyle w:val="3"/>
      </w:pPr>
      <w:r>
        <w:t>4.2 Failover Sequence</w:t>
      </w:r>
    </w:p>
    <w:p w14:paraId="68543F7A">
      <w:pPr>
        <w:pStyle w:val="29"/>
        <w:spacing w:after="40"/>
      </w:pPr>
      <w:r>
        <w:t>Declare disaster and freeze non-essential changes.</w:t>
      </w:r>
    </w:p>
    <w:p w14:paraId="4D0F768E">
      <w:pPr>
        <w:pStyle w:val="29"/>
        <w:spacing w:after="40"/>
      </w:pPr>
      <w:r>
        <w:t>Confirm integrity and freshness of DR replicas/restore points.</w:t>
      </w:r>
    </w:p>
    <w:p w14:paraId="27BB0288">
      <w:pPr>
        <w:pStyle w:val="29"/>
        <w:spacing w:after="40"/>
      </w:pPr>
      <w:r>
        <w:t>Bring up identity, DNS and required infrastructure dependencies.</w:t>
      </w:r>
    </w:p>
    <w:p w14:paraId="243B86FA">
      <w:pPr>
        <w:pStyle w:val="29"/>
        <w:spacing w:after="40"/>
      </w:pPr>
      <w:r>
        <w:t>Recover database services and verify application consistency.</w:t>
      </w:r>
    </w:p>
    <w:p w14:paraId="24140535">
      <w:pPr>
        <w:pStyle w:val="29"/>
        <w:spacing w:after="40"/>
      </w:pPr>
      <w:r>
        <w:t>Recover application/integration services.</w:t>
      </w:r>
    </w:p>
    <w:p w14:paraId="64F6B7E4">
      <w:pPr>
        <w:pStyle w:val="29"/>
        <w:spacing w:after="40"/>
      </w:pPr>
      <w:r>
        <w:t>Recover management/monitoring and remaining services by priority.</w:t>
      </w:r>
    </w:p>
    <w:p w14:paraId="5951483B">
      <w:pPr>
        <w:pStyle w:val="29"/>
        <w:spacing w:after="40"/>
      </w:pPr>
      <w:r>
        <w:t>Validate user access, external integration and production workflows.</w:t>
      </w:r>
    </w:p>
    <w:p w14:paraId="7A7408C2">
      <w:pPr>
        <w:pStyle w:val="29"/>
        <w:spacing w:after="40"/>
      </w:pPr>
      <w:r>
        <w:t>Record recovery times, data point achieved and exceptions for the DR report.</w:t>
      </w:r>
    </w:p>
    <w:p w14:paraId="6D3C9E5B">
      <w:r>
        <w:br w:type="page"/>
      </w:r>
    </w:p>
    <w:p w14:paraId="6C916110">
      <w:pPr>
        <w:pStyle w:val="2"/>
      </w:pPr>
      <w:r>
        <w:t>5. Backup and Recovery Solution – Veeam</w:t>
      </w:r>
    </w:p>
    <w:p w14:paraId="6C6F2FFB">
      <w:pPr>
        <w:pStyle w:val="3"/>
      </w:pPr>
      <w:r>
        <w:t>5.1  Veeam Backup &amp; Replication</w:t>
      </w:r>
    </w:p>
    <w:p w14:paraId="2D22CAE6">
      <w:r>
        <w:t>Veeam Backup &amp; Replication is an appropriate solution for the proposed Microsoft Hyper-V environment. Current Veeam documentation lists support for Windows Server Hyper-V 2025, 2022, 2019 and 2016. Veeam also supports Hyper-V VM replication and immutable backup r</w:t>
      </w:r>
      <w:bookmarkStart w:id="0" w:name="_GoBack"/>
      <w:bookmarkEnd w:id="0"/>
      <w:r>
        <w:t>epositories. This makes it suitable for addressing the RFP requirements for centralized backup management, off-site replication, ransomware-resilient immutable backups and recovery workflows.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6"/>
      </w:tblGrid>
      <w:tr w14:paraId="0F6D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66" w:type="dxa"/>
            <w:shd w:val="clear" w:color="auto" w:fill="EAF3F8"/>
            <w:vAlign w:val="center"/>
          </w:tcPr>
          <w:p w14:paraId="1CDB2121">
            <w:pPr>
              <w:spacing w:after="0" w:line="240" w:lineRule="auto"/>
            </w:pPr>
            <w:r>
              <w:rPr>
                <w:rFonts w:ascii="Aptos" w:hAnsi="Aptos"/>
                <w:b w:val="0"/>
                <w:color w:val="0B3A63"/>
                <w:sz w:val="17"/>
              </w:rPr>
              <w:t>Product/version compatibility must be re-validated against the exact Veeam build, Windows Server build, storage firmware and application versions at implementation time.</w:t>
            </w:r>
          </w:p>
        </w:tc>
      </w:tr>
    </w:tbl>
    <w:p w14:paraId="2414E728">
      <w:pPr>
        <w:spacing w:after="20"/>
      </w:pPr>
    </w:p>
    <w:p w14:paraId="58E1B137">
      <w:pPr>
        <w:pStyle w:val="3"/>
      </w:pPr>
      <w:r>
        <w:t>5.2 Recommended Backup Architecture</w:t>
      </w:r>
    </w:p>
    <w:p w14:paraId="1F87B84C">
      <w:r>
        <w:t>The backup design follows a 3-2-1-1-0 style protection principle: multiple copies of data, on different storage/failure domains, at least one off-site copy, at least one immutable/offline-style copy, and routine verification. The Veeam Backup Server is deployed as a VM on the production Hyper-V cluster, while the primary backup repository is a separate physical server/storage system. An immutable repository is implemented on separate hardened physical infrastructure or a supported immutable target, and an independent repository is maintained at the DR site.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3549"/>
        <w:gridCol w:w="4895"/>
      </w:tblGrid>
      <w:tr w14:paraId="53427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0B3A63"/>
            <w:vAlign w:val="center"/>
          </w:tcPr>
          <w:p w14:paraId="25A28B53">
            <w:pPr>
              <w:spacing w:after="0" w:line="240" w:lineRule="auto"/>
            </w:pPr>
            <w:r>
              <w:rPr>
                <w:rFonts w:ascii="Aptos" w:hAnsi="Aptos"/>
                <w:b/>
                <w:color w:val="FFFFFF"/>
                <w:sz w:val="17"/>
              </w:rPr>
              <w:t>Layer</w:t>
            </w:r>
          </w:p>
        </w:tc>
        <w:tc>
          <w:tcPr>
            <w:tcW w:w="3744" w:type="dxa"/>
            <w:shd w:val="clear" w:color="auto" w:fill="0B3A63"/>
            <w:vAlign w:val="center"/>
          </w:tcPr>
          <w:p w14:paraId="636B326C">
            <w:pPr>
              <w:spacing w:after="0" w:line="240" w:lineRule="auto"/>
            </w:pPr>
            <w:r>
              <w:rPr>
                <w:rFonts w:ascii="Aptos" w:hAnsi="Aptos"/>
                <w:b/>
                <w:color w:val="FFFFFF"/>
                <w:sz w:val="17"/>
              </w:rPr>
              <w:t>Function</w:t>
            </w:r>
          </w:p>
        </w:tc>
        <w:tc>
          <w:tcPr>
            <w:tcW w:w="5184" w:type="dxa"/>
            <w:shd w:val="clear" w:color="auto" w:fill="0B3A63"/>
            <w:vAlign w:val="center"/>
          </w:tcPr>
          <w:p w14:paraId="7A5CA93C">
            <w:pPr>
              <w:spacing w:after="0" w:line="240" w:lineRule="auto"/>
            </w:pPr>
            <w:r>
              <w:rPr>
                <w:rFonts w:ascii="Aptos" w:hAnsi="Aptos"/>
                <w:b/>
                <w:color w:val="FFFFFF"/>
                <w:sz w:val="17"/>
              </w:rPr>
              <w:t>Proposed Technology</w:t>
            </w:r>
          </w:p>
        </w:tc>
      </w:tr>
      <w:tr w14:paraId="113B0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68037C2">
            <w:pPr>
              <w:spacing w:after="0" w:line="240" w:lineRule="auto"/>
            </w:pPr>
            <w:r>
              <w:rPr>
                <w:rFonts w:ascii="Aptos" w:hAnsi="Aptos"/>
                <w:b w:val="0"/>
                <w:sz w:val="16"/>
              </w:rPr>
              <w:t>Production data</w:t>
            </w:r>
          </w:p>
        </w:tc>
        <w:tc>
          <w:tcPr>
            <w:tcW w:w="3744" w:type="dxa"/>
            <w:vAlign w:val="center"/>
          </w:tcPr>
          <w:p w14:paraId="31D6E63D">
            <w:pPr>
              <w:spacing w:after="0" w:line="240" w:lineRule="auto"/>
            </w:pPr>
            <w:r>
              <w:rPr>
                <w:rFonts w:ascii="Aptos" w:hAnsi="Aptos"/>
                <w:b w:val="0"/>
                <w:sz w:val="16"/>
              </w:rPr>
              <w:t>Live VM and application data</w:t>
            </w:r>
          </w:p>
        </w:tc>
        <w:tc>
          <w:tcPr>
            <w:tcW w:w="5184" w:type="dxa"/>
            <w:vAlign w:val="center"/>
          </w:tcPr>
          <w:p w14:paraId="48D26158">
            <w:pPr>
              <w:spacing w:after="0" w:line="240" w:lineRule="auto"/>
            </w:pPr>
            <w:r>
              <w:rPr>
                <w:rFonts w:ascii="Aptos" w:hAnsi="Aptos"/>
                <w:b w:val="0"/>
                <w:sz w:val="16"/>
              </w:rPr>
              <w:t>Hyper-V cluster + shared SAN</w:t>
            </w:r>
          </w:p>
        </w:tc>
      </w:tr>
      <w:tr w14:paraId="7C186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F7F9FB"/>
            <w:vAlign w:val="center"/>
          </w:tcPr>
          <w:p w14:paraId="42B85A30">
            <w:pPr>
              <w:spacing w:after="0" w:line="240" w:lineRule="auto"/>
            </w:pPr>
            <w:r>
              <w:rPr>
                <w:rFonts w:ascii="Aptos" w:hAnsi="Aptos"/>
                <w:b w:val="0"/>
                <w:sz w:val="16"/>
              </w:rPr>
              <w:t>Primary backup</w:t>
            </w:r>
          </w:p>
        </w:tc>
        <w:tc>
          <w:tcPr>
            <w:tcW w:w="3744" w:type="dxa"/>
            <w:shd w:val="clear" w:color="auto" w:fill="F7F9FB"/>
            <w:vAlign w:val="center"/>
          </w:tcPr>
          <w:p w14:paraId="2E585D14">
            <w:pPr>
              <w:spacing w:after="0" w:line="240" w:lineRule="auto"/>
            </w:pPr>
            <w:r>
              <w:rPr>
                <w:rFonts w:ascii="Aptos" w:hAnsi="Aptos"/>
                <w:b w:val="0"/>
                <w:sz w:val="16"/>
              </w:rPr>
              <w:t>Fast operational restore</w:t>
            </w:r>
          </w:p>
        </w:tc>
        <w:tc>
          <w:tcPr>
            <w:tcW w:w="5184" w:type="dxa"/>
            <w:shd w:val="clear" w:color="auto" w:fill="F7F9FB"/>
            <w:vAlign w:val="center"/>
          </w:tcPr>
          <w:p w14:paraId="31722B1F">
            <w:pPr>
              <w:spacing w:after="0" w:line="240" w:lineRule="auto"/>
            </w:pPr>
            <w:r>
              <w:rPr>
                <w:rFonts w:ascii="Aptos" w:hAnsi="Aptos"/>
                <w:b w:val="0"/>
                <w:sz w:val="16"/>
              </w:rPr>
              <w:t>Veeam Backup &amp; Replication to dedicated backup repository</w:t>
            </w:r>
          </w:p>
        </w:tc>
      </w:tr>
      <w:tr w14:paraId="3504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085D8E1">
            <w:pPr>
              <w:spacing w:after="0" w:line="240" w:lineRule="auto"/>
            </w:pPr>
            <w:r>
              <w:rPr>
                <w:rFonts w:ascii="Aptos" w:hAnsi="Aptos"/>
                <w:b w:val="0"/>
                <w:sz w:val="16"/>
              </w:rPr>
              <w:t>Immutable copy</w:t>
            </w:r>
          </w:p>
        </w:tc>
        <w:tc>
          <w:tcPr>
            <w:tcW w:w="3744" w:type="dxa"/>
            <w:vAlign w:val="center"/>
          </w:tcPr>
          <w:p w14:paraId="4718DA9B">
            <w:pPr>
              <w:spacing w:after="0" w:line="240" w:lineRule="auto"/>
            </w:pPr>
            <w:r>
              <w:rPr>
                <w:rFonts w:ascii="Aptos" w:hAnsi="Aptos"/>
                <w:b w:val="0"/>
                <w:sz w:val="16"/>
              </w:rPr>
              <w:t>Ransomware-resistant restore points</w:t>
            </w:r>
          </w:p>
        </w:tc>
        <w:tc>
          <w:tcPr>
            <w:tcW w:w="5184" w:type="dxa"/>
            <w:vAlign w:val="center"/>
          </w:tcPr>
          <w:p w14:paraId="6B6AA591">
            <w:pPr>
              <w:spacing w:after="0" w:line="240" w:lineRule="auto"/>
            </w:pPr>
            <w:r>
              <w:rPr>
                <w:rFonts w:ascii="Aptos" w:hAnsi="Aptos"/>
                <w:b w:val="0"/>
                <w:sz w:val="16"/>
              </w:rPr>
              <w:t>Veeam hardened Linux repository or supported immutable object/appliance repository</w:t>
            </w:r>
          </w:p>
        </w:tc>
      </w:tr>
      <w:tr w14:paraId="3F4C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7F9FB"/>
            <w:vAlign w:val="center"/>
          </w:tcPr>
          <w:p w14:paraId="47A43D66">
            <w:pPr>
              <w:spacing w:after="0" w:line="240" w:lineRule="auto"/>
            </w:pPr>
            <w:r>
              <w:rPr>
                <w:rFonts w:ascii="Aptos" w:hAnsi="Aptos"/>
                <w:b w:val="0"/>
                <w:sz w:val="16"/>
              </w:rPr>
              <w:t>Off-site copy</w:t>
            </w:r>
          </w:p>
        </w:tc>
        <w:tc>
          <w:tcPr>
            <w:tcW w:w="3744" w:type="dxa"/>
            <w:shd w:val="clear" w:color="auto" w:fill="F7F9FB"/>
            <w:vAlign w:val="center"/>
          </w:tcPr>
          <w:p w14:paraId="6AC7A1AD">
            <w:pPr>
              <w:spacing w:after="0" w:line="240" w:lineRule="auto"/>
            </w:pPr>
            <w:r>
              <w:rPr>
                <w:rFonts w:ascii="Aptos" w:hAnsi="Aptos"/>
                <w:b w:val="0"/>
                <w:sz w:val="16"/>
              </w:rPr>
              <w:t>Site-loss protection</w:t>
            </w:r>
          </w:p>
        </w:tc>
        <w:tc>
          <w:tcPr>
            <w:tcW w:w="5184" w:type="dxa"/>
            <w:shd w:val="clear" w:color="auto" w:fill="F7F9FB"/>
            <w:vAlign w:val="center"/>
          </w:tcPr>
          <w:p w14:paraId="12B87D94">
            <w:pPr>
              <w:spacing w:after="0" w:line="240" w:lineRule="auto"/>
            </w:pPr>
            <w:r>
              <w:rPr>
                <w:rFonts w:ascii="Aptos" w:hAnsi="Aptos"/>
                <w:b w:val="0"/>
                <w:sz w:val="16"/>
              </w:rPr>
              <w:t>Backup copy to DR repository over encrypted WAN</w:t>
            </w:r>
          </w:p>
        </w:tc>
      </w:tr>
      <w:tr w14:paraId="29D5A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5F262CC">
            <w:pPr>
              <w:spacing w:after="0" w:line="240" w:lineRule="auto"/>
            </w:pPr>
            <w:r>
              <w:rPr>
                <w:rFonts w:ascii="Aptos" w:hAnsi="Aptos"/>
                <w:b w:val="0"/>
                <w:sz w:val="16"/>
              </w:rPr>
              <w:t>VM replication</w:t>
            </w:r>
          </w:p>
        </w:tc>
        <w:tc>
          <w:tcPr>
            <w:tcW w:w="3744" w:type="dxa"/>
            <w:vAlign w:val="center"/>
          </w:tcPr>
          <w:p w14:paraId="02A4ECBD">
            <w:pPr>
              <w:spacing w:after="0" w:line="240" w:lineRule="auto"/>
            </w:pPr>
            <w:r>
              <w:rPr>
                <w:rFonts w:ascii="Aptos" w:hAnsi="Aptos"/>
                <w:b w:val="0"/>
                <w:sz w:val="16"/>
              </w:rPr>
              <w:t>Fast DR for selected critical VMs</w:t>
            </w:r>
          </w:p>
        </w:tc>
        <w:tc>
          <w:tcPr>
            <w:tcW w:w="5184" w:type="dxa"/>
            <w:vAlign w:val="center"/>
          </w:tcPr>
          <w:p w14:paraId="13F242B4">
            <w:pPr>
              <w:spacing w:after="0" w:line="240" w:lineRule="auto"/>
            </w:pPr>
            <w:r>
              <w:rPr>
                <w:rFonts w:ascii="Aptos" w:hAnsi="Aptos"/>
                <w:b w:val="0"/>
                <w:sz w:val="16"/>
              </w:rPr>
              <w:t>Veeam Hyper-V replication to DR Hyper-V cluster</w:t>
            </w:r>
          </w:p>
        </w:tc>
      </w:tr>
      <w:tr w14:paraId="42C6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7F9FB"/>
            <w:vAlign w:val="center"/>
          </w:tcPr>
          <w:p w14:paraId="277B11CC">
            <w:pPr>
              <w:spacing w:after="0" w:line="240" w:lineRule="auto"/>
            </w:pPr>
            <w:r>
              <w:rPr>
                <w:rFonts w:ascii="Aptos" w:hAnsi="Aptos"/>
                <w:b w:val="0"/>
                <w:sz w:val="16"/>
              </w:rPr>
              <w:t>Recovery validation</w:t>
            </w:r>
          </w:p>
        </w:tc>
        <w:tc>
          <w:tcPr>
            <w:tcW w:w="3744" w:type="dxa"/>
            <w:shd w:val="clear" w:color="auto" w:fill="F7F9FB"/>
            <w:vAlign w:val="center"/>
          </w:tcPr>
          <w:p w14:paraId="45679728">
            <w:pPr>
              <w:spacing w:after="0" w:line="240" w:lineRule="auto"/>
            </w:pPr>
            <w:r>
              <w:rPr>
                <w:rFonts w:ascii="Aptos" w:hAnsi="Aptos"/>
                <w:b w:val="0"/>
                <w:sz w:val="16"/>
              </w:rPr>
              <w:t>Prove recoverability</w:t>
            </w:r>
          </w:p>
        </w:tc>
        <w:tc>
          <w:tcPr>
            <w:tcW w:w="5184" w:type="dxa"/>
            <w:shd w:val="clear" w:color="auto" w:fill="F7F9FB"/>
            <w:vAlign w:val="center"/>
          </w:tcPr>
          <w:p w14:paraId="4D07AD58">
            <w:pPr>
              <w:spacing w:after="0" w:line="240" w:lineRule="auto"/>
            </w:pPr>
            <w:r>
              <w:rPr>
                <w:rFonts w:ascii="Aptos" w:hAnsi="Aptos"/>
                <w:b w:val="0"/>
                <w:sz w:val="16"/>
              </w:rPr>
              <w:t>Scheduled restore tests / Veeam verification capabilities as applicable</w:t>
            </w:r>
          </w:p>
        </w:tc>
      </w:tr>
    </w:tbl>
    <w:p w14:paraId="0A9004DD">
      <w:pPr>
        <w:spacing w:after="20"/>
      </w:pPr>
    </w:p>
    <w:p w14:paraId="09350AEE">
      <w:pPr>
        <w:pStyle w:val="3"/>
      </w:pPr>
      <w:r>
        <w:t>5.3 Proposed Backup Schedule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86"/>
        <w:gridCol w:w="3125"/>
        <w:gridCol w:w="3507"/>
      </w:tblGrid>
      <w:tr w14:paraId="3F1A0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0B3A63"/>
            <w:vAlign w:val="center"/>
          </w:tcPr>
          <w:p w14:paraId="3B6F646B">
            <w:pPr>
              <w:spacing w:after="0" w:line="240" w:lineRule="auto"/>
            </w:pPr>
            <w:r>
              <w:rPr>
                <w:rFonts w:ascii="Aptos" w:hAnsi="Aptos"/>
                <w:b/>
                <w:color w:val="FFFFFF"/>
                <w:sz w:val="17"/>
              </w:rPr>
              <w:t>Protection</w:t>
            </w:r>
          </w:p>
        </w:tc>
        <w:tc>
          <w:tcPr>
            <w:tcW w:w="2016" w:type="dxa"/>
            <w:shd w:val="clear" w:color="auto" w:fill="0B3A63"/>
            <w:vAlign w:val="center"/>
          </w:tcPr>
          <w:p w14:paraId="7A67C8E0">
            <w:pPr>
              <w:spacing w:after="0" w:line="240" w:lineRule="auto"/>
            </w:pPr>
            <w:r>
              <w:rPr>
                <w:rFonts w:ascii="Aptos" w:hAnsi="Aptos"/>
                <w:b/>
                <w:color w:val="FFFFFF"/>
                <w:sz w:val="17"/>
              </w:rPr>
              <w:t>Frequency</w:t>
            </w:r>
          </w:p>
        </w:tc>
        <w:tc>
          <w:tcPr>
            <w:tcW w:w="3456" w:type="dxa"/>
            <w:shd w:val="clear" w:color="auto" w:fill="0B3A63"/>
            <w:vAlign w:val="center"/>
          </w:tcPr>
          <w:p w14:paraId="3BB3ED38">
            <w:pPr>
              <w:spacing w:after="0" w:line="240" w:lineRule="auto"/>
            </w:pPr>
            <w:r>
              <w:rPr>
                <w:rFonts w:ascii="Aptos" w:hAnsi="Aptos"/>
                <w:b/>
                <w:color w:val="FFFFFF"/>
                <w:sz w:val="17"/>
              </w:rPr>
              <w:t>Retention – Initial Proposal</w:t>
            </w:r>
          </w:p>
        </w:tc>
        <w:tc>
          <w:tcPr>
            <w:tcW w:w="4032" w:type="dxa"/>
            <w:shd w:val="clear" w:color="auto" w:fill="0B3A63"/>
            <w:vAlign w:val="center"/>
          </w:tcPr>
          <w:p w14:paraId="4C1C3E76">
            <w:pPr>
              <w:spacing w:after="0" w:line="240" w:lineRule="auto"/>
            </w:pPr>
            <w:r>
              <w:rPr>
                <w:rFonts w:ascii="Aptos" w:hAnsi="Aptos"/>
                <w:b/>
                <w:color w:val="FFFFFF"/>
                <w:sz w:val="17"/>
              </w:rPr>
              <w:t>Purpose</w:t>
            </w:r>
          </w:p>
        </w:tc>
      </w:tr>
      <w:tr w14:paraId="07A21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41FA6D6">
            <w:pPr>
              <w:spacing w:after="0" w:line="240" w:lineRule="auto"/>
            </w:pPr>
            <w:r>
              <w:rPr>
                <w:rFonts w:ascii="Aptos" w:hAnsi="Aptos"/>
                <w:b w:val="0"/>
                <w:sz w:val="16"/>
              </w:rPr>
              <w:t>Critical VM incremental backup</w:t>
            </w:r>
          </w:p>
        </w:tc>
        <w:tc>
          <w:tcPr>
            <w:tcW w:w="2016" w:type="dxa"/>
            <w:vAlign w:val="center"/>
          </w:tcPr>
          <w:p w14:paraId="5ED7326D">
            <w:pPr>
              <w:spacing w:after="0" w:line="240" w:lineRule="auto"/>
            </w:pPr>
            <w:r>
              <w:rPr>
                <w:rFonts w:ascii="Aptos" w:hAnsi="Aptos"/>
                <w:b w:val="0"/>
                <w:sz w:val="16"/>
              </w:rPr>
              <w:t>Daily; increase frequency where RPO requires</w:t>
            </w:r>
          </w:p>
        </w:tc>
        <w:tc>
          <w:tcPr>
            <w:tcW w:w="3456" w:type="dxa"/>
            <w:vAlign w:val="center"/>
          </w:tcPr>
          <w:p w14:paraId="2E84B542">
            <w:pPr>
              <w:spacing w:after="0" w:line="240" w:lineRule="auto"/>
            </w:pPr>
            <w:r>
              <w:rPr>
                <w:rFonts w:ascii="Aptos" w:hAnsi="Aptos"/>
                <w:b w:val="0"/>
                <w:sz w:val="16"/>
              </w:rPr>
              <w:t>30 daily restore points</w:t>
            </w:r>
          </w:p>
        </w:tc>
        <w:tc>
          <w:tcPr>
            <w:tcW w:w="4032" w:type="dxa"/>
            <w:vAlign w:val="center"/>
          </w:tcPr>
          <w:p w14:paraId="6D4007F9">
            <w:pPr>
              <w:spacing w:after="0" w:line="240" w:lineRule="auto"/>
            </w:pPr>
            <w:r>
              <w:rPr>
                <w:rFonts w:ascii="Aptos" w:hAnsi="Aptos"/>
                <w:b w:val="0"/>
                <w:sz w:val="16"/>
              </w:rPr>
              <w:t>Operational recovery</w:t>
            </w:r>
          </w:p>
        </w:tc>
      </w:tr>
      <w:tr w14:paraId="3B80E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7F9FB"/>
            <w:vAlign w:val="center"/>
          </w:tcPr>
          <w:p w14:paraId="2012DAAA">
            <w:pPr>
              <w:spacing w:after="0" w:line="240" w:lineRule="auto"/>
            </w:pPr>
            <w:r>
              <w:rPr>
                <w:rFonts w:ascii="Aptos" w:hAnsi="Aptos"/>
                <w:b w:val="0"/>
                <w:sz w:val="16"/>
              </w:rPr>
              <w:t>Weekly full / synthetic full</w:t>
            </w:r>
          </w:p>
        </w:tc>
        <w:tc>
          <w:tcPr>
            <w:tcW w:w="2016" w:type="dxa"/>
            <w:shd w:val="clear" w:color="auto" w:fill="F7F9FB"/>
            <w:vAlign w:val="center"/>
          </w:tcPr>
          <w:p w14:paraId="5F8A65E2">
            <w:pPr>
              <w:spacing w:after="0" w:line="240" w:lineRule="auto"/>
            </w:pPr>
            <w:r>
              <w:rPr>
                <w:rFonts w:ascii="Aptos" w:hAnsi="Aptos"/>
                <w:b w:val="0"/>
                <w:sz w:val="16"/>
              </w:rPr>
              <w:t>Weekly</w:t>
            </w:r>
          </w:p>
        </w:tc>
        <w:tc>
          <w:tcPr>
            <w:tcW w:w="3456" w:type="dxa"/>
            <w:shd w:val="clear" w:color="auto" w:fill="F7F9FB"/>
            <w:vAlign w:val="center"/>
          </w:tcPr>
          <w:p w14:paraId="061D3039">
            <w:pPr>
              <w:spacing w:after="0" w:line="240" w:lineRule="auto"/>
            </w:pPr>
            <w:r>
              <w:rPr>
                <w:rFonts w:ascii="Aptos" w:hAnsi="Aptos"/>
                <w:b w:val="0"/>
                <w:sz w:val="16"/>
              </w:rPr>
              <w:t>8 weekly</w:t>
            </w:r>
          </w:p>
        </w:tc>
        <w:tc>
          <w:tcPr>
            <w:tcW w:w="4032" w:type="dxa"/>
            <w:shd w:val="clear" w:color="auto" w:fill="F7F9FB"/>
            <w:vAlign w:val="center"/>
          </w:tcPr>
          <w:p w14:paraId="5419A61D">
            <w:pPr>
              <w:spacing w:after="0" w:line="240" w:lineRule="auto"/>
            </w:pPr>
            <w:r>
              <w:rPr>
                <w:rFonts w:ascii="Aptos" w:hAnsi="Aptos"/>
                <w:b w:val="0"/>
                <w:sz w:val="16"/>
              </w:rPr>
              <w:t>Medium-term recovery</w:t>
            </w:r>
          </w:p>
        </w:tc>
      </w:tr>
      <w:tr w14:paraId="312A0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AD85A2B">
            <w:pPr>
              <w:spacing w:after="0" w:line="240" w:lineRule="auto"/>
            </w:pPr>
            <w:r>
              <w:rPr>
                <w:rFonts w:ascii="Aptos" w:hAnsi="Aptos"/>
                <w:b w:val="0"/>
                <w:sz w:val="16"/>
              </w:rPr>
              <w:t>Monthly backup copy</w:t>
            </w:r>
          </w:p>
        </w:tc>
        <w:tc>
          <w:tcPr>
            <w:tcW w:w="2016" w:type="dxa"/>
            <w:vAlign w:val="center"/>
          </w:tcPr>
          <w:p w14:paraId="645D8B72">
            <w:pPr>
              <w:spacing w:after="0" w:line="240" w:lineRule="auto"/>
            </w:pPr>
            <w:r>
              <w:rPr>
                <w:rFonts w:ascii="Aptos" w:hAnsi="Aptos"/>
                <w:b w:val="0"/>
                <w:sz w:val="16"/>
              </w:rPr>
              <w:t>Monthly</w:t>
            </w:r>
          </w:p>
        </w:tc>
        <w:tc>
          <w:tcPr>
            <w:tcW w:w="3456" w:type="dxa"/>
            <w:vAlign w:val="center"/>
          </w:tcPr>
          <w:p w14:paraId="211C113C">
            <w:pPr>
              <w:spacing w:after="0" w:line="240" w:lineRule="auto"/>
            </w:pPr>
            <w:r>
              <w:rPr>
                <w:rFonts w:ascii="Aptos" w:hAnsi="Aptos"/>
                <w:b w:val="0"/>
                <w:sz w:val="16"/>
              </w:rPr>
              <w:t>12 monthly</w:t>
            </w:r>
          </w:p>
        </w:tc>
        <w:tc>
          <w:tcPr>
            <w:tcW w:w="4032" w:type="dxa"/>
            <w:vAlign w:val="center"/>
          </w:tcPr>
          <w:p w14:paraId="0578A8D3">
            <w:pPr>
              <w:spacing w:after="0" w:line="240" w:lineRule="auto"/>
            </w:pPr>
            <w:r>
              <w:rPr>
                <w:rFonts w:ascii="Aptos" w:hAnsi="Aptos"/>
                <w:b w:val="0"/>
                <w:sz w:val="16"/>
              </w:rPr>
              <w:t>Longer-term retention</w:t>
            </w:r>
          </w:p>
        </w:tc>
      </w:tr>
      <w:tr w14:paraId="6F37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7F9FB"/>
            <w:vAlign w:val="center"/>
          </w:tcPr>
          <w:p w14:paraId="564F1851">
            <w:pPr>
              <w:spacing w:after="0" w:line="240" w:lineRule="auto"/>
            </w:pPr>
            <w:r>
              <w:rPr>
                <w:rFonts w:ascii="Aptos" w:hAnsi="Aptos"/>
                <w:b w:val="0"/>
                <w:sz w:val="16"/>
              </w:rPr>
              <w:t>Yearly archive</w:t>
            </w:r>
          </w:p>
        </w:tc>
        <w:tc>
          <w:tcPr>
            <w:tcW w:w="2016" w:type="dxa"/>
            <w:shd w:val="clear" w:color="auto" w:fill="F7F9FB"/>
            <w:vAlign w:val="center"/>
          </w:tcPr>
          <w:p w14:paraId="693442B2">
            <w:pPr>
              <w:spacing w:after="0" w:line="240" w:lineRule="auto"/>
            </w:pPr>
            <w:r>
              <w:rPr>
                <w:rFonts w:ascii="Aptos" w:hAnsi="Aptos"/>
                <w:b w:val="0"/>
                <w:sz w:val="16"/>
              </w:rPr>
              <w:t>Yearly if required by policy</w:t>
            </w:r>
          </w:p>
        </w:tc>
        <w:tc>
          <w:tcPr>
            <w:tcW w:w="3456" w:type="dxa"/>
            <w:shd w:val="clear" w:color="auto" w:fill="F7F9FB"/>
            <w:vAlign w:val="center"/>
          </w:tcPr>
          <w:p w14:paraId="55E82325">
            <w:pPr>
              <w:spacing w:after="0" w:line="240" w:lineRule="auto"/>
            </w:pPr>
            <w:r>
              <w:rPr>
                <w:rFonts w:ascii="Aptos" w:hAnsi="Aptos"/>
                <w:b w:val="0"/>
                <w:sz w:val="16"/>
              </w:rPr>
              <w:t>As required by retention/regulation</w:t>
            </w:r>
          </w:p>
        </w:tc>
        <w:tc>
          <w:tcPr>
            <w:tcW w:w="4032" w:type="dxa"/>
            <w:shd w:val="clear" w:color="auto" w:fill="F7F9FB"/>
            <w:vAlign w:val="center"/>
          </w:tcPr>
          <w:p w14:paraId="3CA68177">
            <w:pPr>
              <w:spacing w:after="0" w:line="240" w:lineRule="auto"/>
            </w:pPr>
            <w:r>
              <w:rPr>
                <w:rFonts w:ascii="Aptos" w:hAnsi="Aptos"/>
                <w:b w:val="0"/>
                <w:sz w:val="16"/>
              </w:rPr>
              <w:t>Long-term retention</w:t>
            </w:r>
          </w:p>
        </w:tc>
      </w:tr>
      <w:tr w14:paraId="2B05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18DF89D">
            <w:pPr>
              <w:spacing w:after="0" w:line="240" w:lineRule="auto"/>
            </w:pPr>
            <w:r>
              <w:rPr>
                <w:rFonts w:ascii="Aptos" w:hAnsi="Aptos"/>
                <w:b w:val="0"/>
                <w:sz w:val="16"/>
              </w:rPr>
              <w:t>Critical VM replication to DR</w:t>
            </w:r>
          </w:p>
        </w:tc>
        <w:tc>
          <w:tcPr>
            <w:tcW w:w="2016" w:type="dxa"/>
            <w:vAlign w:val="center"/>
          </w:tcPr>
          <w:p w14:paraId="10CBAAB4">
            <w:pPr>
              <w:spacing w:after="0" w:line="240" w:lineRule="auto"/>
            </w:pPr>
            <w:r>
              <w:rPr>
                <w:rFonts w:ascii="Aptos" w:hAnsi="Aptos"/>
                <w:b w:val="0"/>
                <w:sz w:val="16"/>
              </w:rPr>
              <w:t>Target ≤5 minutes where workload/WAN permits</w:t>
            </w:r>
          </w:p>
        </w:tc>
        <w:tc>
          <w:tcPr>
            <w:tcW w:w="3456" w:type="dxa"/>
            <w:vAlign w:val="center"/>
          </w:tcPr>
          <w:p w14:paraId="68FA6643">
            <w:pPr>
              <w:spacing w:after="0" w:line="240" w:lineRule="auto"/>
            </w:pPr>
            <w:r>
              <w:rPr>
                <w:rFonts w:ascii="Aptos" w:hAnsi="Aptos"/>
                <w:b w:val="0"/>
                <w:sz w:val="16"/>
              </w:rPr>
              <w:t>Replica restore points as designed</w:t>
            </w:r>
          </w:p>
        </w:tc>
        <w:tc>
          <w:tcPr>
            <w:tcW w:w="4032" w:type="dxa"/>
            <w:vAlign w:val="center"/>
          </w:tcPr>
          <w:p w14:paraId="2B49375A">
            <w:pPr>
              <w:spacing w:after="0" w:line="240" w:lineRule="auto"/>
            </w:pPr>
            <w:r>
              <w:rPr>
                <w:rFonts w:ascii="Aptos" w:hAnsi="Aptos"/>
                <w:b w:val="0"/>
                <w:sz w:val="16"/>
              </w:rPr>
              <w:t>Rapid site failover</w:t>
            </w:r>
          </w:p>
        </w:tc>
      </w:tr>
      <w:tr w14:paraId="1F6D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7F9FB"/>
            <w:vAlign w:val="center"/>
          </w:tcPr>
          <w:p w14:paraId="30FCDA73">
            <w:pPr>
              <w:spacing w:after="0" w:line="240" w:lineRule="auto"/>
            </w:pPr>
            <w:r>
              <w:rPr>
                <w:rFonts w:ascii="Aptos" w:hAnsi="Aptos"/>
                <w:b w:val="0"/>
                <w:sz w:val="16"/>
              </w:rPr>
              <w:t>Immutable retention</w:t>
            </w:r>
          </w:p>
        </w:tc>
        <w:tc>
          <w:tcPr>
            <w:tcW w:w="2016" w:type="dxa"/>
            <w:shd w:val="clear" w:color="auto" w:fill="F7F9FB"/>
            <w:vAlign w:val="center"/>
          </w:tcPr>
          <w:p w14:paraId="11842F07">
            <w:pPr>
              <w:spacing w:after="0" w:line="240" w:lineRule="auto"/>
            </w:pPr>
            <w:r>
              <w:rPr>
                <w:rFonts w:ascii="Aptos" w:hAnsi="Aptos"/>
                <w:b w:val="0"/>
                <w:sz w:val="16"/>
              </w:rPr>
              <w:t>Minimum 14–30 days proposed</w:t>
            </w:r>
          </w:p>
        </w:tc>
        <w:tc>
          <w:tcPr>
            <w:tcW w:w="3456" w:type="dxa"/>
            <w:shd w:val="clear" w:color="auto" w:fill="F7F9FB"/>
            <w:vAlign w:val="center"/>
          </w:tcPr>
          <w:p w14:paraId="1F7E7BED">
            <w:pPr>
              <w:spacing w:after="0" w:line="240" w:lineRule="auto"/>
            </w:pPr>
            <w:r>
              <w:rPr>
                <w:rFonts w:ascii="Aptos" w:hAnsi="Aptos"/>
                <w:b w:val="0"/>
                <w:sz w:val="16"/>
              </w:rPr>
              <w:t>Final value per threat model and storage capacity</w:t>
            </w:r>
          </w:p>
        </w:tc>
        <w:tc>
          <w:tcPr>
            <w:tcW w:w="4032" w:type="dxa"/>
            <w:shd w:val="clear" w:color="auto" w:fill="F7F9FB"/>
            <w:vAlign w:val="center"/>
          </w:tcPr>
          <w:p w14:paraId="2E253C2F">
            <w:pPr>
              <w:spacing w:after="0" w:line="240" w:lineRule="auto"/>
            </w:pPr>
            <w:r>
              <w:rPr>
                <w:rFonts w:ascii="Aptos" w:hAnsi="Aptos"/>
                <w:b w:val="0"/>
                <w:sz w:val="16"/>
              </w:rPr>
              <w:t>Ransomware protection</w:t>
            </w:r>
          </w:p>
        </w:tc>
      </w:tr>
      <w:tr w14:paraId="1FD52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A07AFEA">
            <w:pPr>
              <w:spacing w:after="0" w:line="240" w:lineRule="auto"/>
            </w:pPr>
            <w:r>
              <w:rPr>
                <w:rFonts w:ascii="Aptos" w:hAnsi="Aptos"/>
                <w:b w:val="0"/>
                <w:sz w:val="16"/>
              </w:rPr>
              <w:t>Configuration backup</w:t>
            </w:r>
          </w:p>
        </w:tc>
        <w:tc>
          <w:tcPr>
            <w:tcW w:w="2016" w:type="dxa"/>
            <w:vAlign w:val="center"/>
          </w:tcPr>
          <w:p w14:paraId="5A3EF800">
            <w:pPr>
              <w:spacing w:after="0" w:line="240" w:lineRule="auto"/>
            </w:pPr>
            <w:r>
              <w:rPr>
                <w:rFonts w:ascii="Aptos" w:hAnsi="Aptos"/>
                <w:b w:val="0"/>
                <w:sz w:val="16"/>
              </w:rPr>
              <w:t>Daily</w:t>
            </w:r>
          </w:p>
        </w:tc>
        <w:tc>
          <w:tcPr>
            <w:tcW w:w="3456" w:type="dxa"/>
            <w:vAlign w:val="center"/>
          </w:tcPr>
          <w:p w14:paraId="2AD66CB8">
            <w:pPr>
              <w:spacing w:after="0" w:line="240" w:lineRule="auto"/>
            </w:pPr>
            <w:r>
              <w:rPr>
                <w:rFonts w:ascii="Aptos" w:hAnsi="Aptos"/>
                <w:b w:val="0"/>
                <w:sz w:val="16"/>
              </w:rPr>
              <w:t>30 days minimum</w:t>
            </w:r>
          </w:p>
        </w:tc>
        <w:tc>
          <w:tcPr>
            <w:tcW w:w="4032" w:type="dxa"/>
            <w:vAlign w:val="center"/>
          </w:tcPr>
          <w:p w14:paraId="61629749">
            <w:pPr>
              <w:spacing w:after="0" w:line="240" w:lineRule="auto"/>
            </w:pPr>
            <w:r>
              <w:rPr>
                <w:rFonts w:ascii="Aptos" w:hAnsi="Aptos"/>
                <w:b w:val="0"/>
                <w:sz w:val="16"/>
              </w:rPr>
              <w:t>Veeam configuration recovery</w:t>
            </w:r>
          </w:p>
        </w:tc>
      </w:tr>
    </w:tbl>
    <w:p w14:paraId="0E28AADA">
      <w:pPr>
        <w:spacing w:after="20"/>
      </w:pPr>
    </w:p>
    <w:p w14:paraId="0AE4A697">
      <w:pPr>
        <w:pStyle w:val="3"/>
      </w:pPr>
      <w:r>
        <w:t>5.4 Backup Security Controls</w:t>
      </w:r>
    </w:p>
    <w:p w14:paraId="3604823B">
      <w:pPr>
        <w:pStyle w:val="23"/>
        <w:spacing w:after="40"/>
      </w:pPr>
      <w:r>
        <w:t>Do not use the production SAN as the only backup destination.</w:t>
      </w:r>
    </w:p>
    <w:p w14:paraId="76B3734E">
      <w:pPr>
        <w:pStyle w:val="23"/>
        <w:spacing w:after="40"/>
      </w:pPr>
      <w:r>
        <w:t>Place backup infrastructure in a dedicated backup/security VLAN with tightly controlled firewall rules.</w:t>
      </w:r>
    </w:p>
    <w:p w14:paraId="3E1ADD98">
      <w:pPr>
        <w:pStyle w:val="23"/>
        <w:spacing w:after="40"/>
      </w:pPr>
      <w:r>
        <w:t>Use separate administrative credentials for backup infrastructure; avoid routine domain-admin dependency where feasible.</w:t>
      </w:r>
    </w:p>
    <w:p w14:paraId="402C73B0">
      <w:pPr>
        <w:pStyle w:val="23"/>
        <w:spacing w:after="40"/>
      </w:pPr>
      <w:r>
        <w:t>Use an immutable repository so protected backup files cannot be deleted during the configured immutability period.</w:t>
      </w:r>
    </w:p>
    <w:p w14:paraId="44AAE967">
      <w:pPr>
        <w:pStyle w:val="23"/>
        <w:spacing w:after="40"/>
      </w:pPr>
      <w:r>
        <w:t>Encrypt backup data in transit and at rest where supported.</w:t>
      </w:r>
    </w:p>
    <w:p w14:paraId="27087420">
      <w:pPr>
        <w:pStyle w:val="23"/>
        <w:spacing w:after="40"/>
      </w:pPr>
      <w:r>
        <w:t>Restrict interactive logon to repositories and management servers.</w:t>
      </w:r>
    </w:p>
    <w:p w14:paraId="62AC3603">
      <w:pPr>
        <w:pStyle w:val="23"/>
        <w:spacing w:after="40"/>
      </w:pPr>
      <w:r>
        <w:t>Send backup alerts and security events to the monitoring/SIEM platform.</w:t>
      </w:r>
    </w:p>
    <w:p w14:paraId="6633C450">
      <w:pPr>
        <w:pStyle w:val="23"/>
        <w:spacing w:after="40"/>
      </w:pPr>
      <w:r>
        <w:t>Regularly test restore of VMs, files and application data; a successful backup job alone is not sufficient proof of recoverability.</w:t>
      </w:r>
    </w:p>
    <w:p w14:paraId="28CEE491">
      <w:pPr>
        <w:pStyle w:val="23"/>
        <w:spacing w:after="40"/>
      </w:pPr>
      <w:r>
        <w:t>Maintain an exported/documented recovery runbook and protected copy of configuration information.</w:t>
      </w:r>
    </w:p>
    <w:p w14:paraId="02026983">
      <w:pPr>
        <w:pStyle w:val="3"/>
      </w:pPr>
      <w:r>
        <w:t>5.5 Veeam Components – High-Level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6"/>
        <w:gridCol w:w="1115"/>
        <w:gridCol w:w="6491"/>
      </w:tblGrid>
      <w:tr w14:paraId="6504E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0B3A63"/>
            <w:vAlign w:val="center"/>
          </w:tcPr>
          <w:p w14:paraId="05EE54C5">
            <w:pPr>
              <w:spacing w:after="0" w:line="240" w:lineRule="auto"/>
            </w:pPr>
            <w:r>
              <w:rPr>
                <w:rFonts w:ascii="Aptos" w:hAnsi="Aptos"/>
                <w:b/>
                <w:color w:val="FFFFFF"/>
                <w:sz w:val="17"/>
              </w:rPr>
              <w:t>Software / Role</w:t>
            </w:r>
          </w:p>
        </w:tc>
        <w:tc>
          <w:tcPr>
            <w:tcW w:w="1008" w:type="dxa"/>
            <w:shd w:val="clear" w:color="auto" w:fill="0B3A63"/>
            <w:vAlign w:val="center"/>
          </w:tcPr>
          <w:p w14:paraId="325023EE">
            <w:pPr>
              <w:spacing w:after="0" w:line="240" w:lineRule="auto"/>
            </w:pPr>
            <w:r>
              <w:rPr>
                <w:rFonts w:ascii="Aptos" w:hAnsi="Aptos"/>
                <w:b/>
                <w:color w:val="FFFFFF"/>
                <w:sz w:val="17"/>
              </w:rPr>
              <w:t>Qty</w:t>
            </w:r>
          </w:p>
        </w:tc>
        <w:tc>
          <w:tcPr>
            <w:tcW w:w="6768" w:type="dxa"/>
            <w:shd w:val="clear" w:color="auto" w:fill="0B3A63"/>
            <w:vAlign w:val="center"/>
          </w:tcPr>
          <w:p w14:paraId="2ED9CAD0">
            <w:pPr>
              <w:spacing w:after="0" w:line="240" w:lineRule="auto"/>
            </w:pPr>
            <w:r>
              <w:rPr>
                <w:rFonts w:ascii="Aptos" w:hAnsi="Aptos"/>
                <w:b/>
                <w:color w:val="FFFFFF"/>
                <w:sz w:val="17"/>
              </w:rPr>
              <w:t>Purpose</w:t>
            </w:r>
          </w:p>
        </w:tc>
      </w:tr>
      <w:tr w14:paraId="335E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127585C">
            <w:pPr>
              <w:spacing w:after="0" w:line="240" w:lineRule="auto"/>
            </w:pPr>
            <w:r>
              <w:rPr>
                <w:rFonts w:ascii="Aptos" w:hAnsi="Aptos"/>
                <w:b w:val="0"/>
                <w:sz w:val="16"/>
              </w:rPr>
              <w:t>Veeam Backup &amp; Replication</w:t>
            </w:r>
          </w:p>
        </w:tc>
        <w:tc>
          <w:tcPr>
            <w:tcW w:w="1008" w:type="dxa"/>
            <w:vAlign w:val="center"/>
          </w:tcPr>
          <w:p w14:paraId="7DA39465">
            <w:pPr>
              <w:spacing w:after="0" w:line="240" w:lineRule="auto"/>
            </w:pPr>
            <w:r>
              <w:rPr>
                <w:rFonts w:ascii="Aptos" w:hAnsi="Aptos"/>
                <w:b w:val="0"/>
                <w:sz w:val="16"/>
              </w:rPr>
              <w:t>1 deployment</w:t>
            </w:r>
          </w:p>
        </w:tc>
        <w:tc>
          <w:tcPr>
            <w:tcW w:w="6768" w:type="dxa"/>
            <w:vAlign w:val="center"/>
          </w:tcPr>
          <w:p w14:paraId="40C81D6C">
            <w:pPr>
              <w:spacing w:after="0" w:line="240" w:lineRule="auto"/>
            </w:pPr>
            <w:r>
              <w:rPr>
                <w:rFonts w:ascii="Aptos" w:hAnsi="Aptos"/>
                <w:b w:val="0"/>
                <w:sz w:val="16"/>
              </w:rPr>
              <w:t>Central backup, restore, replication and backup-copy management.</w:t>
            </w:r>
          </w:p>
        </w:tc>
      </w:tr>
      <w:tr w14:paraId="5A54F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7F9FB"/>
            <w:vAlign w:val="center"/>
          </w:tcPr>
          <w:p w14:paraId="6583C092">
            <w:pPr>
              <w:spacing w:after="0" w:line="240" w:lineRule="auto"/>
            </w:pPr>
            <w:r>
              <w:rPr>
                <w:rFonts w:ascii="Aptos" w:hAnsi="Aptos"/>
                <w:b w:val="0"/>
                <w:sz w:val="16"/>
              </w:rPr>
              <w:t>Veeam licenses</w:t>
            </w:r>
          </w:p>
        </w:tc>
        <w:tc>
          <w:tcPr>
            <w:tcW w:w="1008" w:type="dxa"/>
            <w:shd w:val="clear" w:color="auto" w:fill="F7F9FB"/>
            <w:vAlign w:val="center"/>
          </w:tcPr>
          <w:p w14:paraId="0499C23A">
            <w:pPr>
              <w:spacing w:after="0" w:line="240" w:lineRule="auto"/>
            </w:pPr>
            <w:r>
              <w:rPr>
                <w:rFonts w:ascii="Aptos" w:hAnsi="Aptos"/>
                <w:b w:val="0"/>
                <w:sz w:val="16"/>
              </w:rPr>
              <w:t>As required by protected workloads</w:t>
            </w:r>
          </w:p>
        </w:tc>
        <w:tc>
          <w:tcPr>
            <w:tcW w:w="6768" w:type="dxa"/>
            <w:shd w:val="clear" w:color="auto" w:fill="F7F9FB"/>
            <w:vAlign w:val="center"/>
          </w:tcPr>
          <w:p w14:paraId="6F3C6273">
            <w:pPr>
              <w:spacing w:after="0" w:line="240" w:lineRule="auto"/>
            </w:pPr>
            <w:r>
              <w:rPr>
                <w:rFonts w:ascii="Aptos" w:hAnsi="Aptos"/>
                <w:b w:val="0"/>
                <w:sz w:val="16"/>
              </w:rPr>
              <w:t>License quantity depends on final Veeam licensing model and protected workload count.</w:t>
            </w:r>
          </w:p>
        </w:tc>
      </w:tr>
      <w:tr w14:paraId="68F58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041CE6E">
            <w:pPr>
              <w:spacing w:after="0" w:line="240" w:lineRule="auto"/>
            </w:pPr>
            <w:r>
              <w:rPr>
                <w:rFonts w:ascii="Aptos" w:hAnsi="Aptos"/>
                <w:b w:val="0"/>
                <w:sz w:val="16"/>
              </w:rPr>
              <w:t>Veeam Backup Server</w:t>
            </w:r>
          </w:p>
        </w:tc>
        <w:tc>
          <w:tcPr>
            <w:tcW w:w="1008" w:type="dxa"/>
            <w:vAlign w:val="center"/>
          </w:tcPr>
          <w:p w14:paraId="17ADC6E3">
            <w:pPr>
              <w:spacing w:line="240" w:lineRule="auto"/>
            </w:pPr>
            <w:r>
              <w:t>1 VM on Primary Hyper-V cluster</w:t>
            </w:r>
          </w:p>
        </w:tc>
        <w:tc>
          <w:tcPr>
            <w:tcW w:w="6768" w:type="dxa"/>
            <w:vAlign w:val="center"/>
          </w:tcPr>
          <w:p w14:paraId="5CDE6E4F">
            <w:pPr>
              <w:spacing w:line="240" w:lineRule="auto"/>
            </w:pPr>
            <w:r>
              <w:t>Central backup/replication management; does not store the protected backup data itself</w:t>
            </w:r>
          </w:p>
        </w:tc>
      </w:tr>
      <w:tr w14:paraId="408D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7F9FB"/>
            <w:vAlign w:val="center"/>
          </w:tcPr>
          <w:p w14:paraId="114AA8A5">
            <w:pPr>
              <w:spacing w:after="0" w:line="240" w:lineRule="auto"/>
            </w:pPr>
            <w:r>
              <w:rPr>
                <w:rFonts w:ascii="Aptos" w:hAnsi="Aptos"/>
                <w:b w:val="0"/>
                <w:sz w:val="16"/>
              </w:rPr>
              <w:t>Hyper-V backup proxy capability</w:t>
            </w:r>
          </w:p>
        </w:tc>
        <w:tc>
          <w:tcPr>
            <w:tcW w:w="1008" w:type="dxa"/>
            <w:shd w:val="clear" w:color="auto" w:fill="F7F9FB"/>
            <w:vAlign w:val="center"/>
          </w:tcPr>
          <w:p w14:paraId="3A44D7FE">
            <w:pPr>
              <w:spacing w:after="0" w:line="240" w:lineRule="auto"/>
            </w:pPr>
            <w:r>
              <w:rPr>
                <w:rFonts w:ascii="Aptos" w:hAnsi="Aptos"/>
                <w:b w:val="0"/>
                <w:sz w:val="16"/>
              </w:rPr>
              <w:t>As sized</w:t>
            </w:r>
          </w:p>
        </w:tc>
        <w:tc>
          <w:tcPr>
            <w:tcW w:w="6768" w:type="dxa"/>
            <w:shd w:val="clear" w:color="auto" w:fill="F7F9FB"/>
            <w:vAlign w:val="center"/>
          </w:tcPr>
          <w:p w14:paraId="08C44538">
            <w:pPr>
              <w:spacing w:after="0" w:line="240" w:lineRule="auto"/>
            </w:pPr>
            <w:r>
              <w:rPr>
                <w:rFonts w:ascii="Aptos" w:hAnsi="Aptos"/>
                <w:b w:val="0"/>
                <w:sz w:val="16"/>
              </w:rPr>
              <w:t>On-host or off-host data movement; dedicated proxy may be used for scale/performance.</w:t>
            </w:r>
          </w:p>
        </w:tc>
      </w:tr>
      <w:tr w14:paraId="5922D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8D981FB">
            <w:pPr>
              <w:spacing w:after="0" w:line="240" w:lineRule="auto"/>
            </w:pPr>
            <w:r>
              <w:rPr>
                <w:rFonts w:ascii="Aptos" w:hAnsi="Aptos"/>
                <w:b w:val="0"/>
                <w:sz w:val="16"/>
              </w:rPr>
              <w:t>Primary backup repository</w:t>
            </w:r>
          </w:p>
        </w:tc>
        <w:tc>
          <w:tcPr>
            <w:tcW w:w="1008" w:type="dxa"/>
            <w:vAlign w:val="center"/>
          </w:tcPr>
          <w:p w14:paraId="30BFECC7">
            <w:pPr>
              <w:spacing w:line="240" w:lineRule="auto"/>
            </w:pPr>
            <w:r>
              <w:t>1 physical system</w:t>
            </w:r>
          </w:p>
        </w:tc>
        <w:tc>
          <w:tcPr>
            <w:tcW w:w="6768" w:type="dxa"/>
            <w:vAlign w:val="center"/>
          </w:tcPr>
          <w:p w14:paraId="782FB69F">
            <w:pPr>
              <w:spacing w:line="240" w:lineRule="auto"/>
            </w:pPr>
            <w:r>
              <w:t>Separate physical repository for fast local restores; not part of Hyper-V cluster or production SAN</w:t>
            </w:r>
          </w:p>
        </w:tc>
      </w:tr>
      <w:tr w14:paraId="23B32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7F9FB"/>
            <w:vAlign w:val="center"/>
          </w:tcPr>
          <w:p w14:paraId="41795EA5">
            <w:pPr>
              <w:spacing w:after="0" w:line="240" w:lineRule="auto"/>
            </w:pPr>
            <w:r>
              <w:rPr>
                <w:rFonts w:ascii="Aptos" w:hAnsi="Aptos"/>
                <w:b w:val="0"/>
                <w:sz w:val="16"/>
              </w:rPr>
              <w:t>Immutable repository</w:t>
            </w:r>
          </w:p>
        </w:tc>
        <w:tc>
          <w:tcPr>
            <w:tcW w:w="1008" w:type="dxa"/>
            <w:shd w:val="clear" w:color="auto" w:fill="F7F9FB"/>
            <w:vAlign w:val="center"/>
          </w:tcPr>
          <w:p w14:paraId="3791CE7F">
            <w:pPr>
              <w:spacing w:line="240" w:lineRule="auto"/>
            </w:pPr>
            <w:r>
              <w:t>1 physical / supported immutable target</w:t>
            </w:r>
          </w:p>
        </w:tc>
        <w:tc>
          <w:tcPr>
            <w:tcW w:w="6768" w:type="dxa"/>
            <w:shd w:val="clear" w:color="auto" w:fill="F7F9FB"/>
            <w:vAlign w:val="center"/>
          </w:tcPr>
          <w:p w14:paraId="7D6077CF">
            <w:pPr>
              <w:spacing w:line="240" w:lineRule="auto"/>
            </w:pPr>
            <w:r>
              <w:t>Separate hardened immutable repository for ransomware-resistant restore points</w:t>
            </w:r>
          </w:p>
        </w:tc>
      </w:tr>
      <w:tr w14:paraId="76CAF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8F0262B">
            <w:pPr>
              <w:spacing w:after="0" w:line="240" w:lineRule="auto"/>
            </w:pPr>
            <w:r>
              <w:rPr>
                <w:rFonts w:ascii="Aptos" w:hAnsi="Aptos"/>
                <w:b w:val="0"/>
                <w:sz w:val="16"/>
              </w:rPr>
              <w:t>DR backup repository</w:t>
            </w:r>
          </w:p>
        </w:tc>
        <w:tc>
          <w:tcPr>
            <w:tcW w:w="1008" w:type="dxa"/>
            <w:vAlign w:val="center"/>
          </w:tcPr>
          <w:p w14:paraId="0BE78971">
            <w:pPr>
              <w:spacing w:line="240" w:lineRule="auto"/>
            </w:pPr>
            <w:r>
              <w:t>1 physical system</w:t>
            </w:r>
          </w:p>
        </w:tc>
        <w:tc>
          <w:tcPr>
            <w:tcW w:w="6768" w:type="dxa"/>
            <w:vAlign w:val="center"/>
          </w:tcPr>
          <w:p w14:paraId="6E0336A8">
            <w:pPr>
              <w:spacing w:line="240" w:lineRule="auto"/>
            </w:pPr>
            <w:r>
              <w:t>Independent physical off-site repository at DR for backup copies and recovery</w:t>
            </w:r>
          </w:p>
        </w:tc>
      </w:tr>
      <w:tr w14:paraId="4472B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7F9FB"/>
            <w:vAlign w:val="center"/>
          </w:tcPr>
          <w:p w14:paraId="6F6FCE5B">
            <w:pPr>
              <w:spacing w:after="0" w:line="240" w:lineRule="auto"/>
            </w:pPr>
            <w:r>
              <w:rPr>
                <w:rFonts w:ascii="Aptos" w:hAnsi="Aptos"/>
                <w:b w:val="0"/>
                <w:sz w:val="16"/>
              </w:rPr>
              <w:t>Optional object storage capacity</w:t>
            </w:r>
          </w:p>
        </w:tc>
        <w:tc>
          <w:tcPr>
            <w:tcW w:w="1008" w:type="dxa"/>
            <w:shd w:val="clear" w:color="auto" w:fill="F7F9FB"/>
            <w:vAlign w:val="center"/>
          </w:tcPr>
          <w:p w14:paraId="13185FBB">
            <w:pPr>
              <w:spacing w:after="0" w:line="240" w:lineRule="auto"/>
            </w:pPr>
            <w:r>
              <w:rPr>
                <w:rFonts w:ascii="Aptos" w:hAnsi="Aptos"/>
                <w:b w:val="0"/>
                <w:sz w:val="16"/>
              </w:rPr>
              <w:t>As required</w:t>
            </w:r>
          </w:p>
        </w:tc>
        <w:tc>
          <w:tcPr>
            <w:tcW w:w="6768" w:type="dxa"/>
            <w:shd w:val="clear" w:color="auto" w:fill="F7F9FB"/>
            <w:vAlign w:val="center"/>
          </w:tcPr>
          <w:p w14:paraId="041CD2D1">
            <w:pPr>
              <w:spacing w:after="0" w:line="240" w:lineRule="auto"/>
            </w:pPr>
            <w:r>
              <w:rPr>
                <w:rFonts w:ascii="Aptos" w:hAnsi="Aptos"/>
                <w:b w:val="0"/>
                <w:sz w:val="16"/>
              </w:rPr>
              <w:t>Additional immutable/off-site retention tier if approved.</w:t>
            </w:r>
          </w:p>
        </w:tc>
      </w:tr>
    </w:tbl>
    <w:p w14:paraId="62D4B998">
      <w:pPr>
        <w:spacing w:after="20"/>
      </w:pPr>
    </w:p>
    <w:p w14:paraId="611C549D">
      <w:r>
        <w:br w:type="page"/>
      </w:r>
    </w:p>
    <w:p w14:paraId="53153850">
      <w:pPr>
        <w:pStyle w:val="2"/>
      </w:pPr>
      <w:r>
        <w:t>6. Virtual Workload and Software Architecture</w:t>
      </w:r>
    </w:p>
    <w:p w14:paraId="5D16BFAE">
      <w:r>
        <w:t>The exact application VM inventory must be confirmed by the personalization/application supplier. The latest architecture places the infrastructure and application services listed below as VMs on the Hyper-V cluster, including API/integration, reverse proxy, monitoring, management tools and the Veeam Backup Server. Physical backup repositories remain outside the cluster. The following is a logical planning model, not a mandatory VM count.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7"/>
        <w:gridCol w:w="1978"/>
        <w:gridCol w:w="3487"/>
        <w:gridCol w:w="2360"/>
      </w:tblGrid>
      <w:tr w14:paraId="3466D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0B3A63"/>
            <w:vAlign w:val="center"/>
          </w:tcPr>
          <w:p w14:paraId="071D341B">
            <w:pPr>
              <w:spacing w:after="0" w:line="240" w:lineRule="auto"/>
            </w:pPr>
            <w:r>
              <w:rPr>
                <w:rFonts w:ascii="Aptos" w:hAnsi="Aptos"/>
                <w:b/>
                <w:color w:val="FFFFFF"/>
                <w:sz w:val="17"/>
              </w:rPr>
              <w:t>Logical Workload</w:t>
            </w:r>
          </w:p>
        </w:tc>
        <w:tc>
          <w:tcPr>
            <w:tcW w:w="1440" w:type="dxa"/>
            <w:shd w:val="clear" w:color="auto" w:fill="0B3A63"/>
            <w:vAlign w:val="center"/>
          </w:tcPr>
          <w:p w14:paraId="07310E0C">
            <w:pPr>
              <w:spacing w:after="0" w:line="240" w:lineRule="auto"/>
            </w:pPr>
            <w:r>
              <w:rPr>
                <w:rFonts w:ascii="Aptos" w:hAnsi="Aptos"/>
                <w:b/>
                <w:color w:val="FFFFFF"/>
                <w:sz w:val="17"/>
              </w:rPr>
              <w:t>Primary</w:t>
            </w:r>
          </w:p>
        </w:tc>
        <w:tc>
          <w:tcPr>
            <w:tcW w:w="4608" w:type="dxa"/>
            <w:shd w:val="clear" w:color="auto" w:fill="0B3A63"/>
            <w:vAlign w:val="center"/>
          </w:tcPr>
          <w:p w14:paraId="667BE88B">
            <w:pPr>
              <w:spacing w:after="0" w:line="240" w:lineRule="auto"/>
            </w:pPr>
            <w:r>
              <w:rPr>
                <w:rFonts w:ascii="Aptos" w:hAnsi="Aptos"/>
                <w:b/>
                <w:color w:val="FFFFFF"/>
                <w:sz w:val="17"/>
              </w:rPr>
              <w:t>DR</w:t>
            </w:r>
          </w:p>
        </w:tc>
        <w:tc>
          <w:tcPr>
            <w:tcW w:w="2541" w:type="dxa"/>
            <w:shd w:val="clear" w:color="auto" w:fill="0B3A63"/>
            <w:vAlign w:val="center"/>
          </w:tcPr>
          <w:p w14:paraId="3B1B6468">
            <w:pPr>
              <w:spacing w:after="0" w:line="240" w:lineRule="auto"/>
            </w:pPr>
            <w:r>
              <w:rPr>
                <w:rFonts w:ascii="Aptos" w:hAnsi="Aptos"/>
                <w:b/>
                <w:color w:val="FFFFFF"/>
                <w:sz w:val="17"/>
              </w:rPr>
              <w:t>HA / Protection</w:t>
            </w:r>
          </w:p>
        </w:tc>
      </w:tr>
      <w:tr w14:paraId="03B32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3D382F1">
            <w:pPr>
              <w:spacing w:after="0" w:line="240" w:lineRule="auto"/>
            </w:pPr>
            <w:r>
              <w:rPr>
                <w:rFonts w:ascii="Aptos" w:hAnsi="Aptos"/>
                <w:b w:val="0"/>
                <w:sz w:val="16"/>
              </w:rPr>
              <w:t>Domain Controller / DNS 01</w:t>
            </w:r>
          </w:p>
        </w:tc>
        <w:tc>
          <w:tcPr>
            <w:tcW w:w="1440" w:type="dxa"/>
            <w:vAlign w:val="center"/>
          </w:tcPr>
          <w:p w14:paraId="74E1E93F">
            <w:pPr>
              <w:spacing w:after="0" w:line="240" w:lineRule="auto"/>
            </w:pPr>
            <w:r>
              <w:rPr>
                <w:rFonts w:ascii="Aptos" w:hAnsi="Aptos"/>
                <w:b w:val="0"/>
                <w:sz w:val="16"/>
              </w:rPr>
              <w:t>VM</w:t>
            </w:r>
          </w:p>
        </w:tc>
        <w:tc>
          <w:tcPr>
            <w:tcW w:w="4608" w:type="dxa"/>
            <w:vAlign w:val="center"/>
          </w:tcPr>
          <w:p w14:paraId="2CC4455A">
            <w:pPr>
              <w:spacing w:after="0" w:line="240" w:lineRule="auto"/>
            </w:pPr>
            <w:r>
              <w:rPr>
                <w:rFonts w:ascii="Aptos" w:hAnsi="Aptos"/>
                <w:b w:val="0"/>
                <w:sz w:val="16"/>
              </w:rPr>
              <w:t>VM or independent instance</w:t>
            </w:r>
          </w:p>
        </w:tc>
        <w:tc>
          <w:tcPr>
            <w:tcW w:w="2541" w:type="dxa"/>
            <w:vAlign w:val="center"/>
          </w:tcPr>
          <w:p w14:paraId="6A6D5503">
            <w:pPr>
              <w:spacing w:after="0" w:line="240" w:lineRule="auto"/>
            </w:pPr>
            <w:r>
              <w:rPr>
                <w:rFonts w:ascii="Aptos" w:hAnsi="Aptos"/>
                <w:b w:val="0"/>
                <w:sz w:val="16"/>
              </w:rPr>
              <w:t>Native AD redundancy + Veeam backup</w:t>
            </w:r>
          </w:p>
        </w:tc>
      </w:tr>
      <w:tr w14:paraId="4689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4494A023">
            <w:pPr>
              <w:spacing w:after="0" w:line="240" w:lineRule="auto"/>
            </w:pPr>
            <w:r>
              <w:rPr>
                <w:rFonts w:ascii="Aptos" w:hAnsi="Aptos"/>
                <w:b w:val="0"/>
                <w:sz w:val="16"/>
              </w:rPr>
              <w:t>Domain Controller / DNS 02</w:t>
            </w:r>
          </w:p>
        </w:tc>
        <w:tc>
          <w:tcPr>
            <w:tcW w:w="1440" w:type="dxa"/>
            <w:shd w:val="clear" w:color="auto" w:fill="F7F9FB"/>
            <w:vAlign w:val="center"/>
          </w:tcPr>
          <w:p w14:paraId="493BFD07">
            <w:pPr>
              <w:spacing w:after="0" w:line="240" w:lineRule="auto"/>
            </w:pPr>
            <w:r>
              <w:rPr>
                <w:rFonts w:ascii="Aptos" w:hAnsi="Aptos"/>
                <w:b w:val="0"/>
                <w:sz w:val="16"/>
              </w:rPr>
              <w:t>VM</w:t>
            </w:r>
          </w:p>
        </w:tc>
        <w:tc>
          <w:tcPr>
            <w:tcW w:w="4608" w:type="dxa"/>
            <w:shd w:val="clear" w:color="auto" w:fill="F7F9FB"/>
            <w:vAlign w:val="center"/>
          </w:tcPr>
          <w:p w14:paraId="0FE53F13">
            <w:pPr>
              <w:spacing w:after="0" w:line="240" w:lineRule="auto"/>
            </w:pPr>
            <w:r>
              <w:rPr>
                <w:rFonts w:ascii="Aptos" w:hAnsi="Aptos"/>
                <w:b w:val="0"/>
                <w:sz w:val="16"/>
              </w:rPr>
              <w:t>Optional / recommended</w:t>
            </w:r>
          </w:p>
        </w:tc>
        <w:tc>
          <w:tcPr>
            <w:tcW w:w="2541" w:type="dxa"/>
            <w:shd w:val="clear" w:color="auto" w:fill="F7F9FB"/>
            <w:vAlign w:val="center"/>
          </w:tcPr>
          <w:p w14:paraId="58A12F2E">
            <w:pPr>
              <w:spacing w:after="0" w:line="240" w:lineRule="auto"/>
            </w:pPr>
            <w:r>
              <w:rPr>
                <w:rFonts w:ascii="Aptos" w:hAnsi="Aptos"/>
                <w:b w:val="0"/>
                <w:sz w:val="16"/>
              </w:rPr>
              <w:t>Native AD redundancy + Veeam backup</w:t>
            </w:r>
          </w:p>
        </w:tc>
      </w:tr>
      <w:tr w14:paraId="6E1B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7D5F192">
            <w:pPr>
              <w:spacing w:after="0" w:line="240" w:lineRule="auto"/>
            </w:pPr>
            <w:r>
              <w:rPr>
                <w:rFonts w:ascii="Aptos" w:hAnsi="Aptos"/>
                <w:b w:val="0"/>
                <w:sz w:val="16"/>
              </w:rPr>
              <w:t>Application Server 01</w:t>
            </w:r>
          </w:p>
        </w:tc>
        <w:tc>
          <w:tcPr>
            <w:tcW w:w="1440" w:type="dxa"/>
            <w:vAlign w:val="center"/>
          </w:tcPr>
          <w:p w14:paraId="1A6183A1">
            <w:pPr>
              <w:spacing w:after="0" w:line="240" w:lineRule="auto"/>
            </w:pPr>
            <w:r>
              <w:rPr>
                <w:rFonts w:ascii="Aptos" w:hAnsi="Aptos"/>
                <w:b w:val="0"/>
                <w:sz w:val="16"/>
              </w:rPr>
              <w:t>VM</w:t>
            </w:r>
          </w:p>
        </w:tc>
        <w:tc>
          <w:tcPr>
            <w:tcW w:w="4608" w:type="dxa"/>
            <w:vAlign w:val="center"/>
          </w:tcPr>
          <w:p w14:paraId="65F1B174">
            <w:pPr>
              <w:spacing w:after="0" w:line="240" w:lineRule="auto"/>
            </w:pPr>
            <w:r>
              <w:rPr>
                <w:rFonts w:ascii="Aptos" w:hAnsi="Aptos"/>
                <w:b w:val="0"/>
                <w:sz w:val="16"/>
              </w:rPr>
              <w:t>Replica</w:t>
            </w:r>
          </w:p>
        </w:tc>
        <w:tc>
          <w:tcPr>
            <w:tcW w:w="2541" w:type="dxa"/>
            <w:vAlign w:val="center"/>
          </w:tcPr>
          <w:p w14:paraId="21D2B0A7">
            <w:pPr>
              <w:spacing w:after="0" w:line="240" w:lineRule="auto"/>
            </w:pPr>
            <w:r>
              <w:rPr>
                <w:rFonts w:ascii="Aptos" w:hAnsi="Aptos"/>
                <w:b w:val="0"/>
                <w:sz w:val="16"/>
              </w:rPr>
              <w:t>Clustered VM + Veeam replication</w:t>
            </w:r>
          </w:p>
        </w:tc>
      </w:tr>
      <w:tr w14:paraId="3D06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6E7C5D8E">
            <w:pPr>
              <w:spacing w:after="0" w:line="240" w:lineRule="auto"/>
            </w:pPr>
            <w:r>
              <w:rPr>
                <w:rFonts w:ascii="Aptos" w:hAnsi="Aptos"/>
                <w:b w:val="0"/>
                <w:sz w:val="16"/>
              </w:rPr>
              <w:t>Application Server 02 / Workflow</w:t>
            </w:r>
          </w:p>
        </w:tc>
        <w:tc>
          <w:tcPr>
            <w:tcW w:w="1440" w:type="dxa"/>
            <w:shd w:val="clear" w:color="auto" w:fill="F7F9FB"/>
            <w:vAlign w:val="center"/>
          </w:tcPr>
          <w:p w14:paraId="2220185B">
            <w:pPr>
              <w:spacing w:after="0" w:line="240" w:lineRule="auto"/>
            </w:pPr>
            <w:r>
              <w:rPr>
                <w:rFonts w:ascii="Aptos" w:hAnsi="Aptos"/>
                <w:b w:val="0"/>
                <w:sz w:val="16"/>
              </w:rPr>
              <w:t>VM</w:t>
            </w:r>
          </w:p>
        </w:tc>
        <w:tc>
          <w:tcPr>
            <w:tcW w:w="4608" w:type="dxa"/>
            <w:shd w:val="clear" w:color="auto" w:fill="F7F9FB"/>
            <w:vAlign w:val="center"/>
          </w:tcPr>
          <w:p w14:paraId="412DE2E0">
            <w:pPr>
              <w:spacing w:after="0" w:line="240" w:lineRule="auto"/>
            </w:pPr>
            <w:r>
              <w:rPr>
                <w:rFonts w:ascii="Aptos" w:hAnsi="Aptos"/>
                <w:b w:val="0"/>
                <w:sz w:val="16"/>
              </w:rPr>
              <w:t>Replica</w:t>
            </w:r>
          </w:p>
        </w:tc>
        <w:tc>
          <w:tcPr>
            <w:tcW w:w="2541" w:type="dxa"/>
            <w:shd w:val="clear" w:color="auto" w:fill="F7F9FB"/>
            <w:vAlign w:val="center"/>
          </w:tcPr>
          <w:p w14:paraId="637FCB47">
            <w:pPr>
              <w:spacing w:after="0" w:line="240" w:lineRule="auto"/>
            </w:pPr>
            <w:r>
              <w:rPr>
                <w:rFonts w:ascii="Aptos" w:hAnsi="Aptos"/>
                <w:b w:val="0"/>
                <w:sz w:val="16"/>
              </w:rPr>
              <w:t>Application/load-balancing design as supported</w:t>
            </w:r>
          </w:p>
        </w:tc>
      </w:tr>
      <w:tr w14:paraId="300D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64FD6DB">
            <w:pPr>
              <w:spacing w:after="0" w:line="240" w:lineRule="auto"/>
            </w:pPr>
            <w:r>
              <w:rPr>
                <w:rFonts w:ascii="Aptos" w:hAnsi="Aptos"/>
                <w:b w:val="0"/>
                <w:sz w:val="16"/>
              </w:rPr>
              <w:t>Database Server(s)</w:t>
            </w:r>
          </w:p>
        </w:tc>
        <w:tc>
          <w:tcPr>
            <w:tcW w:w="1440" w:type="dxa"/>
            <w:vAlign w:val="center"/>
          </w:tcPr>
          <w:p w14:paraId="6DD4FD09">
            <w:pPr>
              <w:spacing w:after="0" w:line="240" w:lineRule="auto"/>
            </w:pPr>
            <w:r>
              <w:rPr>
                <w:rFonts w:ascii="Aptos" w:hAnsi="Aptos"/>
                <w:b w:val="0"/>
                <w:sz w:val="16"/>
              </w:rPr>
              <w:t>VM(s)</w:t>
            </w:r>
          </w:p>
        </w:tc>
        <w:tc>
          <w:tcPr>
            <w:tcW w:w="4608" w:type="dxa"/>
            <w:vAlign w:val="center"/>
          </w:tcPr>
          <w:p w14:paraId="510CAA2E">
            <w:pPr>
              <w:spacing w:after="0" w:line="240" w:lineRule="auto"/>
            </w:pPr>
            <w:r>
              <w:rPr>
                <w:rFonts w:ascii="Aptos" w:hAnsi="Aptos"/>
                <w:b w:val="0"/>
                <w:sz w:val="16"/>
              </w:rPr>
              <w:t>Replica / DB-native DR where required</w:t>
            </w:r>
          </w:p>
        </w:tc>
        <w:tc>
          <w:tcPr>
            <w:tcW w:w="2541" w:type="dxa"/>
            <w:vAlign w:val="center"/>
          </w:tcPr>
          <w:p w14:paraId="50A5F2DE">
            <w:pPr>
              <w:spacing w:after="0" w:line="240" w:lineRule="auto"/>
            </w:pPr>
            <w:r>
              <w:rPr>
                <w:rFonts w:ascii="Aptos" w:hAnsi="Aptos"/>
                <w:b w:val="0"/>
                <w:sz w:val="16"/>
              </w:rPr>
              <w:t>DB HA method to be confirmed with DB vendor</w:t>
            </w:r>
          </w:p>
        </w:tc>
      </w:tr>
      <w:tr w14:paraId="4F0C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2C1B9E58">
            <w:pPr>
              <w:spacing w:after="0" w:line="240" w:lineRule="auto"/>
            </w:pPr>
            <w:r>
              <w:rPr>
                <w:rFonts w:ascii="Aptos" w:hAnsi="Aptos"/>
                <w:b w:val="0"/>
                <w:sz w:val="16"/>
              </w:rPr>
              <w:t>Integration / API</w:t>
            </w:r>
          </w:p>
        </w:tc>
        <w:tc>
          <w:tcPr>
            <w:tcW w:w="1440" w:type="dxa"/>
            <w:shd w:val="clear" w:color="auto" w:fill="F7F9FB"/>
            <w:vAlign w:val="center"/>
          </w:tcPr>
          <w:p w14:paraId="70EFF2F3">
            <w:pPr>
              <w:spacing w:line="240" w:lineRule="auto"/>
            </w:pPr>
            <w:r>
              <w:t>VM on Primary Hyper-V cluster</w:t>
            </w:r>
          </w:p>
        </w:tc>
        <w:tc>
          <w:tcPr>
            <w:tcW w:w="4608" w:type="dxa"/>
            <w:shd w:val="clear" w:color="auto" w:fill="F7F9FB"/>
            <w:vAlign w:val="center"/>
          </w:tcPr>
          <w:p w14:paraId="1EEA41AF">
            <w:pPr>
              <w:spacing w:line="240" w:lineRule="auto"/>
            </w:pPr>
            <w:r>
              <w:t>Replica VM at DR</w:t>
            </w:r>
          </w:p>
        </w:tc>
        <w:tc>
          <w:tcPr>
            <w:tcW w:w="2541" w:type="dxa"/>
            <w:shd w:val="clear" w:color="auto" w:fill="F7F9FB"/>
            <w:vAlign w:val="center"/>
          </w:tcPr>
          <w:p w14:paraId="3A1FE642">
            <w:pPr>
              <w:spacing w:line="240" w:lineRule="auto"/>
            </w:pPr>
            <w:r>
              <w:t>Connected to DMZ/internal integration zone according to firewall policy</w:t>
            </w:r>
          </w:p>
        </w:tc>
      </w:tr>
      <w:tr w14:paraId="043F6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45885FF">
            <w:pPr>
              <w:spacing w:after="0" w:line="240" w:lineRule="auto"/>
            </w:pPr>
            <w:r>
              <w:rPr>
                <w:rFonts w:ascii="Aptos" w:hAnsi="Aptos"/>
                <w:b w:val="0"/>
                <w:sz w:val="16"/>
              </w:rPr>
              <w:t>Monitoring Server</w:t>
            </w:r>
          </w:p>
        </w:tc>
        <w:tc>
          <w:tcPr>
            <w:tcW w:w="1440" w:type="dxa"/>
            <w:vAlign w:val="center"/>
          </w:tcPr>
          <w:p w14:paraId="2205510E">
            <w:pPr>
              <w:spacing w:line="240" w:lineRule="auto"/>
            </w:pPr>
            <w:r>
              <w:t>VM on Primary Hyper-V cluster</w:t>
            </w:r>
          </w:p>
        </w:tc>
        <w:tc>
          <w:tcPr>
            <w:tcW w:w="4608" w:type="dxa"/>
            <w:vAlign w:val="center"/>
          </w:tcPr>
          <w:p w14:paraId="799B3148">
            <w:pPr>
              <w:spacing w:line="240" w:lineRule="auto"/>
            </w:pPr>
            <w:r>
              <w:t>VM / backup at DR</w:t>
            </w:r>
          </w:p>
        </w:tc>
        <w:tc>
          <w:tcPr>
            <w:tcW w:w="2541" w:type="dxa"/>
            <w:vAlign w:val="center"/>
          </w:tcPr>
          <w:p w14:paraId="4051FB5C">
            <w:pPr>
              <w:spacing w:line="240" w:lineRule="auto"/>
            </w:pPr>
            <w:r>
              <w:t>Central monitoring; protected by cluster HA and backup</w:t>
            </w:r>
          </w:p>
        </w:tc>
      </w:tr>
      <w:tr w14:paraId="5F845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467A5CFD">
            <w:pPr>
              <w:spacing w:after="0" w:line="240" w:lineRule="auto"/>
            </w:pPr>
            <w:r>
              <w:rPr>
                <w:rFonts w:ascii="Aptos" w:hAnsi="Aptos"/>
                <w:b w:val="0"/>
                <w:sz w:val="16"/>
              </w:rPr>
              <w:t>Veeam Backup Server</w:t>
            </w:r>
          </w:p>
        </w:tc>
        <w:tc>
          <w:tcPr>
            <w:tcW w:w="1440" w:type="dxa"/>
            <w:shd w:val="clear" w:color="auto" w:fill="F7F9FB"/>
            <w:vAlign w:val="center"/>
          </w:tcPr>
          <w:p w14:paraId="3B869E7B">
            <w:pPr>
              <w:spacing w:line="240" w:lineRule="auto"/>
            </w:pPr>
            <w:r>
              <w:t>VM on Primary Hyper-V cluster</w:t>
            </w:r>
          </w:p>
        </w:tc>
        <w:tc>
          <w:tcPr>
            <w:tcW w:w="4608" w:type="dxa"/>
            <w:shd w:val="clear" w:color="auto" w:fill="F7F9FB"/>
            <w:vAlign w:val="center"/>
          </w:tcPr>
          <w:p w14:paraId="684A0205">
            <w:pPr>
              <w:spacing w:line="240" w:lineRule="auto"/>
            </w:pPr>
            <w:r>
              <w:t>VM / recoverable at DR</w:t>
            </w:r>
          </w:p>
        </w:tc>
        <w:tc>
          <w:tcPr>
            <w:tcW w:w="2541" w:type="dxa"/>
            <w:shd w:val="clear" w:color="auto" w:fill="F7F9FB"/>
            <w:vAlign w:val="center"/>
          </w:tcPr>
          <w:p w14:paraId="7733BC8D">
            <w:pPr>
              <w:spacing w:line="240" w:lineRule="auto"/>
            </w:pPr>
            <w:r>
              <w:t>Backup management/control plane only; repositories remain physical and separate</w:t>
            </w:r>
          </w:p>
        </w:tc>
      </w:tr>
      <w:tr w14:paraId="4777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740DC2C">
            <w:pPr>
              <w:spacing w:after="0" w:line="240" w:lineRule="auto"/>
            </w:pPr>
            <w:r>
              <w:rPr>
                <w:rFonts w:ascii="Aptos" w:hAnsi="Aptos"/>
                <w:b w:val="0"/>
                <w:sz w:val="16"/>
              </w:rPr>
              <w:t>Security / Log integration</w:t>
            </w:r>
          </w:p>
        </w:tc>
        <w:tc>
          <w:tcPr>
            <w:tcW w:w="1440" w:type="dxa"/>
            <w:vAlign w:val="center"/>
          </w:tcPr>
          <w:p w14:paraId="744D0669">
            <w:pPr>
              <w:spacing w:after="0" w:line="240" w:lineRule="auto"/>
            </w:pPr>
            <w:r>
              <w:rPr>
                <w:rFonts w:ascii="Aptos" w:hAnsi="Aptos"/>
                <w:b w:val="0"/>
                <w:sz w:val="16"/>
              </w:rPr>
              <w:t>VM or external platform</w:t>
            </w:r>
          </w:p>
        </w:tc>
        <w:tc>
          <w:tcPr>
            <w:tcW w:w="4608" w:type="dxa"/>
            <w:vAlign w:val="center"/>
          </w:tcPr>
          <w:p w14:paraId="2EBFD23C">
            <w:pPr>
              <w:spacing w:after="0" w:line="240" w:lineRule="auto"/>
            </w:pPr>
            <w:r>
              <w:rPr>
                <w:rFonts w:ascii="Aptos" w:hAnsi="Aptos"/>
                <w:b w:val="0"/>
                <w:sz w:val="16"/>
              </w:rPr>
              <w:t>As required</w:t>
            </w:r>
          </w:p>
        </w:tc>
        <w:tc>
          <w:tcPr>
            <w:tcW w:w="2541" w:type="dxa"/>
            <w:vAlign w:val="center"/>
          </w:tcPr>
          <w:p w14:paraId="164D7B48">
            <w:pPr>
              <w:spacing w:after="0" w:line="240" w:lineRule="auto"/>
            </w:pPr>
            <w:r>
              <w:rPr>
                <w:rFonts w:ascii="Aptos" w:hAnsi="Aptos"/>
                <w:b w:val="0"/>
                <w:sz w:val="16"/>
              </w:rPr>
              <w:t>SIEM/EDR integration</w:t>
            </w:r>
          </w:p>
        </w:tc>
      </w:tr>
      <w:tr w14:paraId="7DB0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42CEB00F">
            <w:pPr>
              <w:spacing w:after="0" w:line="240" w:lineRule="auto"/>
            </w:pPr>
            <w:r>
              <w:rPr>
                <w:rFonts w:ascii="Aptos" w:hAnsi="Aptos"/>
                <w:b w:val="0"/>
                <w:sz w:val="16"/>
              </w:rPr>
              <w:t>Vendor utility / licensing services</w:t>
            </w:r>
          </w:p>
        </w:tc>
        <w:tc>
          <w:tcPr>
            <w:tcW w:w="1440" w:type="dxa"/>
            <w:shd w:val="clear" w:color="auto" w:fill="F7F9FB"/>
            <w:vAlign w:val="center"/>
          </w:tcPr>
          <w:p w14:paraId="4C74A5F8">
            <w:pPr>
              <w:spacing w:after="0" w:line="240" w:lineRule="auto"/>
            </w:pPr>
            <w:r>
              <w:rPr>
                <w:rFonts w:ascii="Aptos" w:hAnsi="Aptos"/>
                <w:b w:val="0"/>
                <w:sz w:val="16"/>
              </w:rPr>
              <w:t>As required</w:t>
            </w:r>
          </w:p>
        </w:tc>
        <w:tc>
          <w:tcPr>
            <w:tcW w:w="4608" w:type="dxa"/>
            <w:shd w:val="clear" w:color="auto" w:fill="F7F9FB"/>
            <w:vAlign w:val="center"/>
          </w:tcPr>
          <w:p w14:paraId="55BA0174">
            <w:pPr>
              <w:spacing w:after="0" w:line="240" w:lineRule="auto"/>
            </w:pPr>
            <w:r>
              <w:rPr>
                <w:rFonts w:ascii="Aptos" w:hAnsi="Aptos"/>
                <w:b w:val="0"/>
                <w:sz w:val="16"/>
              </w:rPr>
              <w:t>As required</w:t>
            </w:r>
          </w:p>
        </w:tc>
        <w:tc>
          <w:tcPr>
            <w:tcW w:w="2541" w:type="dxa"/>
            <w:shd w:val="clear" w:color="auto" w:fill="F7F9FB"/>
            <w:vAlign w:val="center"/>
          </w:tcPr>
          <w:p w14:paraId="56364FCB">
            <w:pPr>
              <w:spacing w:after="0" w:line="240" w:lineRule="auto"/>
            </w:pPr>
            <w:r>
              <w:rPr>
                <w:rFonts w:ascii="Aptos" w:hAnsi="Aptos"/>
                <w:b w:val="0"/>
                <w:sz w:val="16"/>
              </w:rPr>
              <w:t>Vendor-defined</w:t>
            </w:r>
          </w:p>
        </w:tc>
      </w:tr>
      <w:tr w14:paraId="2ADAF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Pr>
          <w:p w14:paraId="1D9B666D">
            <w:pPr>
              <w:spacing w:line="240" w:lineRule="auto"/>
            </w:pPr>
            <w:r>
              <w:t>Reverse Proxy / Web Server</w:t>
            </w:r>
          </w:p>
        </w:tc>
        <w:tc>
          <w:tcPr>
            <w:tcW w:w="2541" w:type="dxa"/>
          </w:tcPr>
          <w:p w14:paraId="05AE8AA4">
            <w:pPr>
              <w:spacing w:line="240" w:lineRule="auto"/>
            </w:pPr>
            <w:r>
              <w:t>VM on Primary Hyper-V cluster</w:t>
            </w:r>
          </w:p>
        </w:tc>
        <w:tc>
          <w:tcPr>
            <w:tcW w:w="2541" w:type="dxa"/>
          </w:tcPr>
          <w:p w14:paraId="6A4EDE78">
            <w:pPr>
              <w:spacing w:line="240" w:lineRule="auto"/>
            </w:pPr>
            <w:r>
              <w:t>Replica VM at DR</w:t>
            </w:r>
          </w:p>
        </w:tc>
        <w:tc>
          <w:tcPr>
            <w:tcW w:w="2541" w:type="dxa"/>
          </w:tcPr>
          <w:p w14:paraId="4E0F7C22">
            <w:pPr>
              <w:spacing w:line="240" w:lineRule="auto"/>
            </w:pPr>
            <w:r>
              <w:t>DMZ VLAN 100; firewall-isolated from application/database networks</w:t>
            </w:r>
          </w:p>
        </w:tc>
      </w:tr>
      <w:tr w14:paraId="0047E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Pr>
          <w:p w14:paraId="319B48BE">
            <w:pPr>
              <w:spacing w:line="240" w:lineRule="auto"/>
            </w:pPr>
            <w:r>
              <w:t>Management Tools Server</w:t>
            </w:r>
          </w:p>
        </w:tc>
        <w:tc>
          <w:tcPr>
            <w:tcW w:w="2541" w:type="dxa"/>
          </w:tcPr>
          <w:p w14:paraId="3AD175F7">
            <w:pPr>
              <w:spacing w:line="240" w:lineRule="auto"/>
            </w:pPr>
            <w:r>
              <w:t>VM on Primary Hyper-V cluster</w:t>
            </w:r>
          </w:p>
        </w:tc>
        <w:tc>
          <w:tcPr>
            <w:tcW w:w="2541" w:type="dxa"/>
          </w:tcPr>
          <w:p w14:paraId="4167A16C">
            <w:pPr>
              <w:spacing w:line="240" w:lineRule="auto"/>
            </w:pPr>
            <w:r>
              <w:t>VM / backup at DR</w:t>
            </w:r>
          </w:p>
        </w:tc>
        <w:tc>
          <w:tcPr>
            <w:tcW w:w="2541" w:type="dxa"/>
          </w:tcPr>
          <w:p w14:paraId="7715B5A3">
            <w:pPr>
              <w:spacing w:line="240" w:lineRule="auto"/>
            </w:pPr>
            <w:r>
              <w:t>Infrastructure administration tools on Management &amp; Monitoring VLAN</w:t>
            </w:r>
          </w:p>
        </w:tc>
      </w:tr>
    </w:tbl>
    <w:p w14:paraId="31377452">
      <w:pPr>
        <w:spacing w:after="20"/>
      </w:pPr>
    </w:p>
    <w:p w14:paraId="055AB60C">
      <w:pPr>
        <w:pStyle w:val="3"/>
      </w:pPr>
      <w:r>
        <w:t>6.1 Microsoft Software</w:t>
      </w:r>
    </w:p>
    <w:p w14:paraId="24B63108">
      <w:pPr>
        <w:pStyle w:val="23"/>
        <w:spacing w:after="40"/>
      </w:pPr>
      <w:r>
        <w:t>Windows Server 2025 Datacenter (recommended for virtualization rights and cluster hosts), licensed by physical cores in accordance with Microsoft licensing rules.</w:t>
      </w:r>
    </w:p>
    <w:p w14:paraId="6AA30253">
      <w:pPr>
        <w:pStyle w:val="23"/>
        <w:spacing w:after="40"/>
      </w:pPr>
      <w:r>
        <w:t>Windows Server CALs for users/devices where required.</w:t>
      </w:r>
    </w:p>
    <w:p w14:paraId="36170181">
      <w:pPr>
        <w:pStyle w:val="23"/>
        <w:spacing w:after="40"/>
      </w:pPr>
      <w:r>
        <w:t>Microsoft SQL Server edition/licensing only if required by the application vendor; edition and HA licensing must be confirmed separately.</w:t>
      </w:r>
    </w:p>
    <w:p w14:paraId="5124135F">
      <w:pPr>
        <w:pStyle w:val="23"/>
        <w:spacing w:after="40"/>
      </w:pPr>
      <w:r>
        <w:t>Windows Server Failover Clustering and Hyper-V roles.</w:t>
      </w:r>
    </w:p>
    <w:p w14:paraId="51E6F993">
      <w:pPr>
        <w:pStyle w:val="23"/>
        <w:spacing w:after="40"/>
      </w:pPr>
      <w:r>
        <w:t>Optional Windows Admin Center / System Center tooling depending on the final operational model.</w:t>
      </w:r>
    </w:p>
    <w:p w14:paraId="76152A3E">
      <w:r>
        <w:br w:type="page"/>
      </w:r>
    </w:p>
    <w:p w14:paraId="76C25D11">
      <w:pPr>
        <w:pStyle w:val="2"/>
      </w:pPr>
      <w:r>
        <w:t>7. High-Level Bill of Materials (BOM)</w:t>
      </w:r>
    </w:p>
    <w:p w14:paraId="4CD7D95E">
      <w:r>
        <w:t>The BOM below defines the infrastructure classes and preliminary quantities. OEM model numbers, exact CPU SKUs, disk counts and license quantities should be selected only after final sizing and compatibility validation.</w:t>
      </w:r>
    </w:p>
    <w:p w14:paraId="323F0B23">
      <w:pPr>
        <w:pStyle w:val="3"/>
      </w:pPr>
      <w:r>
        <w:t>7.1 Primary Site – Hardware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
        <w:gridCol w:w="3024"/>
        <w:gridCol w:w="873"/>
        <w:gridCol w:w="5760"/>
      </w:tblGrid>
      <w:tr w14:paraId="46808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0B3A63"/>
            <w:vAlign w:val="center"/>
          </w:tcPr>
          <w:p w14:paraId="091FD99D">
            <w:pPr>
              <w:spacing w:after="0" w:line="240" w:lineRule="auto"/>
            </w:pPr>
            <w:r>
              <w:rPr>
                <w:rFonts w:ascii="Aptos" w:hAnsi="Aptos"/>
                <w:b/>
                <w:color w:val="FFFFFF"/>
                <w:sz w:val="17"/>
              </w:rPr>
              <w:t>#</w:t>
            </w:r>
          </w:p>
        </w:tc>
        <w:tc>
          <w:tcPr>
            <w:tcW w:w="3024" w:type="dxa"/>
            <w:shd w:val="clear" w:color="auto" w:fill="0B3A63"/>
            <w:vAlign w:val="center"/>
          </w:tcPr>
          <w:p w14:paraId="5311F4A4">
            <w:pPr>
              <w:spacing w:after="0" w:line="240" w:lineRule="auto"/>
            </w:pPr>
            <w:r>
              <w:rPr>
                <w:rFonts w:ascii="Aptos" w:hAnsi="Aptos"/>
                <w:b/>
                <w:color w:val="FFFFFF"/>
                <w:sz w:val="17"/>
              </w:rPr>
              <w:t>Item</w:t>
            </w:r>
          </w:p>
        </w:tc>
        <w:tc>
          <w:tcPr>
            <w:tcW w:w="792" w:type="dxa"/>
            <w:shd w:val="clear" w:color="auto" w:fill="0B3A63"/>
            <w:vAlign w:val="center"/>
          </w:tcPr>
          <w:p w14:paraId="57BD77F6">
            <w:pPr>
              <w:spacing w:after="0" w:line="240" w:lineRule="auto"/>
            </w:pPr>
            <w:r>
              <w:rPr>
                <w:rFonts w:ascii="Aptos" w:hAnsi="Aptos"/>
                <w:b/>
                <w:color w:val="FFFFFF"/>
                <w:sz w:val="17"/>
              </w:rPr>
              <w:t>Qty</w:t>
            </w:r>
          </w:p>
        </w:tc>
        <w:tc>
          <w:tcPr>
            <w:tcW w:w="5760" w:type="dxa"/>
            <w:shd w:val="clear" w:color="auto" w:fill="0B3A63"/>
            <w:vAlign w:val="center"/>
          </w:tcPr>
          <w:p w14:paraId="326C4658">
            <w:pPr>
              <w:spacing w:after="0" w:line="240" w:lineRule="auto"/>
            </w:pPr>
            <w:r>
              <w:rPr>
                <w:rFonts w:ascii="Aptos" w:hAnsi="Aptos"/>
                <w:b/>
                <w:color w:val="FFFFFF"/>
                <w:sz w:val="17"/>
              </w:rPr>
              <w:t>High-Level Specification</w:t>
            </w:r>
          </w:p>
        </w:tc>
      </w:tr>
      <w:tr w14:paraId="05D65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vAlign w:val="center"/>
          </w:tcPr>
          <w:p w14:paraId="70EA917D">
            <w:pPr>
              <w:spacing w:after="0" w:line="240" w:lineRule="auto"/>
            </w:pPr>
            <w:r>
              <w:rPr>
                <w:rFonts w:ascii="Aptos" w:hAnsi="Aptos"/>
                <w:b w:val="0"/>
                <w:sz w:val="16"/>
              </w:rPr>
              <w:t>1</w:t>
            </w:r>
          </w:p>
        </w:tc>
        <w:tc>
          <w:tcPr>
            <w:tcW w:w="3024" w:type="dxa"/>
            <w:vAlign w:val="center"/>
          </w:tcPr>
          <w:p w14:paraId="6DAE88E8">
            <w:pPr>
              <w:spacing w:after="0" w:line="240" w:lineRule="auto"/>
            </w:pPr>
            <w:r>
              <w:rPr>
                <w:rFonts w:ascii="Aptos" w:hAnsi="Aptos"/>
                <w:b w:val="0"/>
                <w:sz w:val="16"/>
              </w:rPr>
              <w:t>Enterprise Hyper-V cluster server</w:t>
            </w:r>
          </w:p>
        </w:tc>
        <w:tc>
          <w:tcPr>
            <w:tcW w:w="792" w:type="dxa"/>
            <w:vAlign w:val="center"/>
          </w:tcPr>
          <w:p w14:paraId="75C9741F">
            <w:pPr>
              <w:spacing w:after="0" w:line="240" w:lineRule="auto"/>
            </w:pPr>
            <w:r>
              <w:rPr>
                <w:rFonts w:ascii="Aptos" w:hAnsi="Aptos"/>
                <w:b w:val="0"/>
                <w:sz w:val="16"/>
              </w:rPr>
              <w:t>2</w:t>
            </w:r>
          </w:p>
        </w:tc>
        <w:tc>
          <w:tcPr>
            <w:tcW w:w="5760" w:type="dxa"/>
            <w:vAlign w:val="center"/>
          </w:tcPr>
          <w:p w14:paraId="7AA48C23">
            <w:pPr>
              <w:spacing w:after="0" w:line="240" w:lineRule="auto"/>
            </w:pPr>
            <w:r>
              <w:rPr>
                <w:rFonts w:ascii="Aptos" w:hAnsi="Aptos"/>
                <w:b w:val="0"/>
                <w:sz w:val="16"/>
              </w:rPr>
              <w:t>2U, dual CPU, ≥256 GB RAM, RAID1 boot SSD, 10/25GbE, dual storage paths, OOB management, dual PSU</w:t>
            </w:r>
          </w:p>
        </w:tc>
      </w:tr>
      <w:tr w14:paraId="0F36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F7F9FB"/>
            <w:vAlign w:val="center"/>
          </w:tcPr>
          <w:p w14:paraId="1591B9B9">
            <w:pPr>
              <w:spacing w:after="0" w:line="240" w:lineRule="auto"/>
            </w:pPr>
            <w:r>
              <w:rPr>
                <w:rFonts w:ascii="Aptos" w:hAnsi="Aptos"/>
                <w:b w:val="0"/>
                <w:sz w:val="16"/>
              </w:rPr>
              <w:t>2</w:t>
            </w:r>
          </w:p>
        </w:tc>
        <w:tc>
          <w:tcPr>
            <w:tcW w:w="3024" w:type="dxa"/>
            <w:shd w:val="clear" w:color="auto" w:fill="F7F9FB"/>
            <w:vAlign w:val="center"/>
          </w:tcPr>
          <w:p w14:paraId="6E57477E">
            <w:pPr>
              <w:spacing w:after="0" w:line="240" w:lineRule="auto"/>
            </w:pPr>
            <w:r>
              <w:rPr>
                <w:rFonts w:ascii="Aptos" w:hAnsi="Aptos"/>
                <w:b w:val="0"/>
                <w:sz w:val="16"/>
              </w:rPr>
              <w:t>Enterprise shared SAN</w:t>
            </w:r>
          </w:p>
        </w:tc>
        <w:tc>
          <w:tcPr>
            <w:tcW w:w="792" w:type="dxa"/>
            <w:shd w:val="clear" w:color="auto" w:fill="F7F9FB"/>
            <w:vAlign w:val="center"/>
          </w:tcPr>
          <w:p w14:paraId="47852272">
            <w:pPr>
              <w:spacing w:after="0" w:line="240" w:lineRule="auto"/>
            </w:pPr>
            <w:r>
              <w:rPr>
                <w:rFonts w:ascii="Aptos" w:hAnsi="Aptos"/>
                <w:b w:val="0"/>
                <w:sz w:val="16"/>
              </w:rPr>
              <w:t>1</w:t>
            </w:r>
          </w:p>
        </w:tc>
        <w:tc>
          <w:tcPr>
            <w:tcW w:w="5760" w:type="dxa"/>
            <w:shd w:val="clear" w:color="auto" w:fill="F7F9FB"/>
            <w:vAlign w:val="center"/>
          </w:tcPr>
          <w:p w14:paraId="2536D53E">
            <w:pPr>
              <w:spacing w:after="0" w:line="240" w:lineRule="auto"/>
            </w:pPr>
            <w:r>
              <w:rPr>
                <w:rFonts w:ascii="Aptos" w:hAnsi="Aptos"/>
                <w:b w:val="0"/>
                <w:sz w:val="16"/>
              </w:rPr>
              <w:t>Dual-controller, SSD/all-flash preferred, multipath, snapshots, encryption; preliminary 10–15 TB usable</w:t>
            </w:r>
          </w:p>
        </w:tc>
      </w:tr>
      <w:tr w14:paraId="4C595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vAlign w:val="center"/>
          </w:tcPr>
          <w:p w14:paraId="5BD7BDD7">
            <w:pPr>
              <w:spacing w:after="0" w:line="240" w:lineRule="auto"/>
            </w:pPr>
            <w:r>
              <w:rPr>
                <w:rFonts w:ascii="Aptos" w:hAnsi="Aptos"/>
                <w:b w:val="0"/>
                <w:sz w:val="16"/>
              </w:rPr>
              <w:t>3</w:t>
            </w:r>
          </w:p>
        </w:tc>
        <w:tc>
          <w:tcPr>
            <w:tcW w:w="3024" w:type="dxa"/>
            <w:vAlign w:val="center"/>
          </w:tcPr>
          <w:p w14:paraId="705C206D">
            <w:pPr>
              <w:spacing w:after="0" w:line="240" w:lineRule="auto"/>
            </w:pPr>
            <w:r>
              <w:rPr>
                <w:rFonts w:ascii="Aptos" w:hAnsi="Aptos"/>
                <w:b w:val="0"/>
                <w:sz w:val="16"/>
              </w:rPr>
              <w:t>Core / distribution L3 switch</w:t>
            </w:r>
          </w:p>
        </w:tc>
        <w:tc>
          <w:tcPr>
            <w:tcW w:w="792" w:type="dxa"/>
            <w:vAlign w:val="center"/>
          </w:tcPr>
          <w:p w14:paraId="782A3CEA">
            <w:pPr>
              <w:spacing w:after="0" w:line="240" w:lineRule="auto"/>
            </w:pPr>
            <w:r>
              <w:rPr>
                <w:rFonts w:ascii="Aptos" w:hAnsi="Aptos"/>
                <w:b w:val="0"/>
                <w:sz w:val="16"/>
              </w:rPr>
              <w:t>2</w:t>
            </w:r>
          </w:p>
        </w:tc>
        <w:tc>
          <w:tcPr>
            <w:tcW w:w="5760" w:type="dxa"/>
            <w:vAlign w:val="center"/>
          </w:tcPr>
          <w:p w14:paraId="2D0C20BB">
            <w:pPr>
              <w:spacing w:after="0" w:line="240" w:lineRule="auto"/>
            </w:pPr>
            <w:r>
              <w:rPr>
                <w:rFonts w:ascii="Aptos" w:hAnsi="Aptos"/>
                <w:b w:val="0"/>
                <w:sz w:val="16"/>
              </w:rPr>
              <w:t>Redundant/stackable or MLAG-capable, 10/25Gb uplinks, VLAN/LACP/ACL/QoS, redundant PSU</w:t>
            </w:r>
          </w:p>
        </w:tc>
      </w:tr>
      <w:tr w14:paraId="4F1D6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F7F9FB"/>
            <w:vAlign w:val="center"/>
          </w:tcPr>
          <w:p w14:paraId="3E8BBCA2">
            <w:pPr>
              <w:spacing w:after="0" w:line="240" w:lineRule="auto"/>
            </w:pPr>
            <w:r>
              <w:rPr>
                <w:rFonts w:ascii="Aptos" w:hAnsi="Aptos"/>
                <w:b w:val="0"/>
                <w:sz w:val="16"/>
              </w:rPr>
              <w:t>4</w:t>
            </w:r>
          </w:p>
        </w:tc>
        <w:tc>
          <w:tcPr>
            <w:tcW w:w="3024" w:type="dxa"/>
            <w:shd w:val="clear" w:color="auto" w:fill="F7F9FB"/>
            <w:vAlign w:val="center"/>
          </w:tcPr>
          <w:p w14:paraId="13D83278">
            <w:pPr>
              <w:spacing w:after="0" w:line="240" w:lineRule="auto"/>
            </w:pPr>
            <w:r>
              <w:rPr>
                <w:rFonts w:ascii="Aptos" w:hAnsi="Aptos"/>
                <w:b w:val="0"/>
                <w:sz w:val="16"/>
              </w:rPr>
              <w:t>Managed access switch</w:t>
            </w:r>
          </w:p>
        </w:tc>
        <w:tc>
          <w:tcPr>
            <w:tcW w:w="792" w:type="dxa"/>
            <w:shd w:val="clear" w:color="auto" w:fill="F7F9FB"/>
            <w:vAlign w:val="center"/>
          </w:tcPr>
          <w:p w14:paraId="4C396E35">
            <w:pPr>
              <w:spacing w:after="0" w:line="240" w:lineRule="auto"/>
            </w:pPr>
            <w:r>
              <w:rPr>
                <w:rFonts w:ascii="Aptos" w:hAnsi="Aptos"/>
                <w:b w:val="0"/>
                <w:sz w:val="16"/>
              </w:rPr>
              <w:t>1</w:t>
            </w:r>
          </w:p>
        </w:tc>
        <w:tc>
          <w:tcPr>
            <w:tcW w:w="5760" w:type="dxa"/>
            <w:shd w:val="clear" w:color="auto" w:fill="F7F9FB"/>
            <w:vAlign w:val="center"/>
          </w:tcPr>
          <w:p w14:paraId="7D123E52">
            <w:pPr>
              <w:spacing w:after="0" w:line="240" w:lineRule="auto"/>
            </w:pPr>
            <w:r>
              <w:rPr>
                <w:rFonts w:ascii="Aptos" w:hAnsi="Aptos"/>
                <w:b w:val="0"/>
                <w:sz w:val="16"/>
              </w:rPr>
              <w:t>24-port managed PoE+, VLANs, LACP, SNMP; add second if access HA required</w:t>
            </w:r>
          </w:p>
        </w:tc>
      </w:tr>
      <w:tr w14:paraId="2D0E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vAlign w:val="center"/>
          </w:tcPr>
          <w:p w14:paraId="500AE50E">
            <w:pPr>
              <w:spacing w:after="0" w:line="240" w:lineRule="auto"/>
            </w:pPr>
            <w:r>
              <w:rPr>
                <w:rFonts w:ascii="Aptos" w:hAnsi="Aptos"/>
                <w:b w:val="0"/>
                <w:sz w:val="16"/>
              </w:rPr>
              <w:t>5</w:t>
            </w:r>
          </w:p>
        </w:tc>
        <w:tc>
          <w:tcPr>
            <w:tcW w:w="3024" w:type="dxa"/>
            <w:vAlign w:val="center"/>
          </w:tcPr>
          <w:p w14:paraId="5CCFFD2C">
            <w:pPr>
              <w:spacing w:after="0" w:line="240" w:lineRule="auto"/>
            </w:pPr>
            <w:r>
              <w:rPr>
                <w:rFonts w:ascii="Aptos" w:hAnsi="Aptos"/>
                <w:b w:val="0"/>
                <w:sz w:val="16"/>
              </w:rPr>
              <w:t>NGFW</w:t>
            </w:r>
          </w:p>
        </w:tc>
        <w:tc>
          <w:tcPr>
            <w:tcW w:w="792" w:type="dxa"/>
            <w:vAlign w:val="center"/>
          </w:tcPr>
          <w:p w14:paraId="61E0D824">
            <w:pPr>
              <w:spacing w:after="0" w:line="240" w:lineRule="auto"/>
            </w:pPr>
            <w:r>
              <w:rPr>
                <w:rFonts w:ascii="Aptos" w:hAnsi="Aptos"/>
                <w:b w:val="0"/>
                <w:sz w:val="16"/>
              </w:rPr>
              <w:t>2 / HA pair preferred</w:t>
            </w:r>
          </w:p>
        </w:tc>
        <w:tc>
          <w:tcPr>
            <w:tcW w:w="5760" w:type="dxa"/>
            <w:vAlign w:val="center"/>
          </w:tcPr>
          <w:p w14:paraId="599E1F30">
            <w:pPr>
              <w:spacing w:after="0" w:line="240" w:lineRule="auto"/>
            </w:pPr>
            <w:r>
              <w:rPr>
                <w:rFonts w:ascii="Aptos" w:hAnsi="Aptos"/>
                <w:b w:val="0"/>
                <w:sz w:val="16"/>
              </w:rPr>
              <w:t>IPS, application control, VPN, segmentation, logging; sizing based on encrypted throughput</w:t>
            </w:r>
          </w:p>
        </w:tc>
      </w:tr>
      <w:tr w14:paraId="7B2A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F7F9FB"/>
            <w:vAlign w:val="center"/>
          </w:tcPr>
          <w:p w14:paraId="3CA395A7">
            <w:pPr>
              <w:spacing w:after="0" w:line="240" w:lineRule="auto"/>
            </w:pPr>
            <w:r>
              <w:rPr>
                <w:rFonts w:ascii="Aptos" w:hAnsi="Aptos"/>
                <w:b w:val="0"/>
                <w:sz w:val="16"/>
              </w:rPr>
              <w:t>6</w:t>
            </w:r>
          </w:p>
        </w:tc>
        <w:tc>
          <w:tcPr>
            <w:tcW w:w="3024" w:type="dxa"/>
            <w:shd w:val="clear" w:color="auto" w:fill="F7F9FB"/>
            <w:vAlign w:val="center"/>
          </w:tcPr>
          <w:p w14:paraId="7ABA45FD">
            <w:pPr>
              <w:spacing w:after="0" w:line="240" w:lineRule="auto"/>
            </w:pPr>
            <w:r>
              <w:rPr>
                <w:rFonts w:ascii="Aptos" w:hAnsi="Aptos"/>
                <w:b w:val="0"/>
                <w:sz w:val="16"/>
              </w:rPr>
              <w:t>Backup repository server/storage</w:t>
            </w:r>
          </w:p>
        </w:tc>
        <w:tc>
          <w:tcPr>
            <w:tcW w:w="792" w:type="dxa"/>
            <w:shd w:val="clear" w:color="auto" w:fill="F7F9FB"/>
            <w:vAlign w:val="center"/>
          </w:tcPr>
          <w:p w14:paraId="228A27A7">
            <w:pPr>
              <w:spacing w:line="240" w:lineRule="auto"/>
            </w:pPr>
            <w:r>
              <w:t>1</w:t>
            </w:r>
          </w:p>
        </w:tc>
        <w:tc>
          <w:tcPr>
            <w:tcW w:w="5760" w:type="dxa"/>
            <w:shd w:val="clear" w:color="auto" w:fill="F7F9FB"/>
            <w:vAlign w:val="center"/>
          </w:tcPr>
          <w:p w14:paraId="27E34BA6">
            <w:pPr>
              <w:spacing w:line="240" w:lineRule="auto"/>
            </w:pPr>
            <w:r>
              <w:t>Separate physical server/storage, independent from Hyper-V cluster and production SAN; sized from protected capacity, change rate and retention</w:t>
            </w:r>
          </w:p>
        </w:tc>
      </w:tr>
      <w:tr w14:paraId="6560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vAlign w:val="center"/>
          </w:tcPr>
          <w:p w14:paraId="2ED6DB79">
            <w:pPr>
              <w:spacing w:after="0" w:line="240" w:lineRule="auto"/>
            </w:pPr>
            <w:r>
              <w:rPr>
                <w:rFonts w:ascii="Aptos" w:hAnsi="Aptos"/>
                <w:b w:val="0"/>
                <w:sz w:val="16"/>
              </w:rPr>
              <w:t>7</w:t>
            </w:r>
          </w:p>
        </w:tc>
        <w:tc>
          <w:tcPr>
            <w:tcW w:w="3024" w:type="dxa"/>
            <w:vAlign w:val="center"/>
          </w:tcPr>
          <w:p w14:paraId="3C133AB7">
            <w:pPr>
              <w:spacing w:after="0" w:line="240" w:lineRule="auto"/>
            </w:pPr>
            <w:r>
              <w:rPr>
                <w:rFonts w:ascii="Aptos" w:hAnsi="Aptos"/>
                <w:b w:val="0"/>
                <w:sz w:val="16"/>
              </w:rPr>
              <w:t>Immutable backup repository</w:t>
            </w:r>
          </w:p>
        </w:tc>
        <w:tc>
          <w:tcPr>
            <w:tcW w:w="792" w:type="dxa"/>
            <w:vAlign w:val="center"/>
          </w:tcPr>
          <w:p w14:paraId="3BF47852">
            <w:pPr>
              <w:spacing w:line="240" w:lineRule="auto"/>
            </w:pPr>
            <w:r>
              <w:t>1</w:t>
            </w:r>
          </w:p>
        </w:tc>
        <w:tc>
          <w:tcPr>
            <w:tcW w:w="5760" w:type="dxa"/>
            <w:vAlign w:val="center"/>
          </w:tcPr>
          <w:p w14:paraId="02F7F6B4">
            <w:pPr>
              <w:spacing w:line="240" w:lineRule="auto"/>
            </w:pPr>
            <w:r>
              <w:t>Separate physical hardened Linux repository or supported immutable appliance/object target; isolated from production failure domain</w:t>
            </w:r>
          </w:p>
        </w:tc>
      </w:tr>
      <w:tr w14:paraId="1648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F7F9FB"/>
            <w:vAlign w:val="center"/>
          </w:tcPr>
          <w:p w14:paraId="65564B0B">
            <w:pPr>
              <w:spacing w:after="0" w:line="240" w:lineRule="auto"/>
            </w:pPr>
            <w:r>
              <w:rPr>
                <w:rFonts w:ascii="Aptos" w:hAnsi="Aptos"/>
                <w:b w:val="0"/>
                <w:sz w:val="16"/>
              </w:rPr>
              <w:t>8</w:t>
            </w:r>
          </w:p>
        </w:tc>
        <w:tc>
          <w:tcPr>
            <w:tcW w:w="3024" w:type="dxa"/>
            <w:shd w:val="clear" w:color="auto" w:fill="F7F9FB"/>
            <w:vAlign w:val="center"/>
          </w:tcPr>
          <w:p w14:paraId="3B91AEB9">
            <w:pPr>
              <w:spacing w:after="0" w:line="240" w:lineRule="auto"/>
            </w:pPr>
            <w:r>
              <w:rPr>
                <w:rFonts w:ascii="Aptos" w:hAnsi="Aptos"/>
                <w:b w:val="0"/>
                <w:sz w:val="16"/>
              </w:rPr>
              <w:t>SFP+/SFP28/DAC/fiber modules</w:t>
            </w:r>
          </w:p>
        </w:tc>
        <w:tc>
          <w:tcPr>
            <w:tcW w:w="792" w:type="dxa"/>
            <w:shd w:val="clear" w:color="auto" w:fill="F7F9FB"/>
            <w:vAlign w:val="center"/>
          </w:tcPr>
          <w:p w14:paraId="61A8BF9B">
            <w:pPr>
              <w:spacing w:after="0" w:line="240" w:lineRule="auto"/>
            </w:pPr>
            <w:r>
              <w:rPr>
                <w:rFonts w:ascii="Aptos" w:hAnsi="Aptos"/>
                <w:b w:val="0"/>
                <w:sz w:val="16"/>
              </w:rPr>
              <w:t>As required</w:t>
            </w:r>
          </w:p>
        </w:tc>
        <w:tc>
          <w:tcPr>
            <w:tcW w:w="5760" w:type="dxa"/>
            <w:shd w:val="clear" w:color="auto" w:fill="F7F9FB"/>
            <w:vAlign w:val="center"/>
          </w:tcPr>
          <w:p w14:paraId="0FB3EE83">
            <w:pPr>
              <w:spacing w:after="0" w:line="240" w:lineRule="auto"/>
            </w:pPr>
            <w:r>
              <w:rPr>
                <w:rFonts w:ascii="Aptos" w:hAnsi="Aptos"/>
                <w:b w:val="0"/>
                <w:sz w:val="16"/>
              </w:rPr>
              <w:t>OEM-supported optics/cables for redundant 10/25Gb paths</w:t>
            </w:r>
          </w:p>
        </w:tc>
      </w:tr>
      <w:tr w14:paraId="6503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vAlign w:val="center"/>
          </w:tcPr>
          <w:p w14:paraId="3B48D31B">
            <w:pPr>
              <w:spacing w:after="0" w:line="240" w:lineRule="auto"/>
            </w:pPr>
            <w:r>
              <w:rPr>
                <w:rFonts w:ascii="Aptos" w:hAnsi="Aptos"/>
                <w:b w:val="0"/>
                <w:sz w:val="16"/>
              </w:rPr>
              <w:t>9</w:t>
            </w:r>
          </w:p>
        </w:tc>
        <w:tc>
          <w:tcPr>
            <w:tcW w:w="3024" w:type="dxa"/>
            <w:vAlign w:val="center"/>
          </w:tcPr>
          <w:p w14:paraId="1B967326">
            <w:pPr>
              <w:spacing w:after="0" w:line="240" w:lineRule="auto"/>
            </w:pPr>
            <w:r>
              <w:rPr>
                <w:rFonts w:ascii="Aptos" w:hAnsi="Aptos"/>
                <w:b w:val="0"/>
                <w:sz w:val="16"/>
              </w:rPr>
              <w:t>Rack PDUs</w:t>
            </w:r>
          </w:p>
        </w:tc>
        <w:tc>
          <w:tcPr>
            <w:tcW w:w="792" w:type="dxa"/>
            <w:vAlign w:val="center"/>
          </w:tcPr>
          <w:p w14:paraId="772710DD">
            <w:pPr>
              <w:spacing w:after="0" w:line="240" w:lineRule="auto"/>
            </w:pPr>
            <w:r>
              <w:rPr>
                <w:rFonts w:ascii="Aptos" w:hAnsi="Aptos"/>
                <w:b w:val="0"/>
                <w:sz w:val="16"/>
              </w:rPr>
              <w:t>2</w:t>
            </w:r>
          </w:p>
        </w:tc>
        <w:tc>
          <w:tcPr>
            <w:tcW w:w="5760" w:type="dxa"/>
            <w:vAlign w:val="center"/>
          </w:tcPr>
          <w:p w14:paraId="0A7D932A">
            <w:pPr>
              <w:spacing w:after="0" w:line="240" w:lineRule="auto"/>
            </w:pPr>
            <w:r>
              <w:rPr>
                <w:rFonts w:ascii="Aptos" w:hAnsi="Aptos"/>
                <w:b w:val="0"/>
                <w:sz w:val="16"/>
              </w:rPr>
              <w:t>A/B redundant power feeds</w:t>
            </w:r>
          </w:p>
        </w:tc>
      </w:tr>
      <w:tr w14:paraId="5E7FA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F7F9FB"/>
            <w:vAlign w:val="center"/>
          </w:tcPr>
          <w:p w14:paraId="06F3AA3B">
            <w:pPr>
              <w:spacing w:after="0" w:line="240" w:lineRule="auto"/>
            </w:pPr>
            <w:r>
              <w:rPr>
                <w:rFonts w:ascii="Aptos" w:hAnsi="Aptos"/>
                <w:b w:val="0"/>
                <w:sz w:val="16"/>
              </w:rPr>
              <w:t>10</w:t>
            </w:r>
          </w:p>
        </w:tc>
        <w:tc>
          <w:tcPr>
            <w:tcW w:w="3024" w:type="dxa"/>
            <w:shd w:val="clear" w:color="auto" w:fill="F7F9FB"/>
            <w:vAlign w:val="center"/>
          </w:tcPr>
          <w:p w14:paraId="3ECE0C94">
            <w:pPr>
              <w:spacing w:after="0" w:line="240" w:lineRule="auto"/>
            </w:pPr>
            <w:r>
              <w:rPr>
                <w:rFonts w:ascii="Aptos" w:hAnsi="Aptos"/>
                <w:b w:val="0"/>
                <w:sz w:val="16"/>
              </w:rPr>
              <w:t>Rack/cabling/patching</w:t>
            </w:r>
          </w:p>
        </w:tc>
        <w:tc>
          <w:tcPr>
            <w:tcW w:w="792" w:type="dxa"/>
            <w:shd w:val="clear" w:color="auto" w:fill="F7F9FB"/>
            <w:vAlign w:val="center"/>
          </w:tcPr>
          <w:p w14:paraId="060A9701">
            <w:pPr>
              <w:spacing w:after="0" w:line="240" w:lineRule="auto"/>
            </w:pPr>
            <w:r>
              <w:rPr>
                <w:rFonts w:ascii="Aptos" w:hAnsi="Aptos"/>
                <w:b w:val="0"/>
                <w:sz w:val="16"/>
              </w:rPr>
              <w:t>1 lot</w:t>
            </w:r>
          </w:p>
        </w:tc>
        <w:tc>
          <w:tcPr>
            <w:tcW w:w="5760" w:type="dxa"/>
            <w:shd w:val="clear" w:color="auto" w:fill="F7F9FB"/>
            <w:vAlign w:val="center"/>
          </w:tcPr>
          <w:p w14:paraId="4B192ECC">
            <w:pPr>
              <w:spacing w:after="0" w:line="240" w:lineRule="auto"/>
            </w:pPr>
            <w:r>
              <w:rPr>
                <w:rFonts w:ascii="Aptos" w:hAnsi="Aptos"/>
                <w:b w:val="0"/>
                <w:sz w:val="16"/>
              </w:rPr>
              <w:t>Rack, fiber/copper patching, labels and cable management</w:t>
            </w:r>
          </w:p>
        </w:tc>
      </w:tr>
    </w:tbl>
    <w:p w14:paraId="3B77FAD4">
      <w:pPr>
        <w:spacing w:after="20"/>
      </w:pPr>
    </w:p>
    <w:p w14:paraId="759C605B">
      <w:pPr>
        <w:pStyle w:val="3"/>
      </w:pPr>
      <w:r>
        <w:t>7.2 DR Site – Hardware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
        <w:gridCol w:w="3024"/>
        <w:gridCol w:w="873"/>
        <w:gridCol w:w="5760"/>
      </w:tblGrid>
      <w:tr w14:paraId="01D0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0B3A63"/>
            <w:vAlign w:val="center"/>
          </w:tcPr>
          <w:p w14:paraId="1C5B9951">
            <w:pPr>
              <w:spacing w:after="0" w:line="240" w:lineRule="auto"/>
            </w:pPr>
            <w:r>
              <w:rPr>
                <w:rFonts w:ascii="Aptos" w:hAnsi="Aptos"/>
                <w:b/>
                <w:color w:val="FFFFFF"/>
                <w:sz w:val="17"/>
              </w:rPr>
              <w:t>#</w:t>
            </w:r>
          </w:p>
        </w:tc>
        <w:tc>
          <w:tcPr>
            <w:tcW w:w="3024" w:type="dxa"/>
            <w:shd w:val="clear" w:color="auto" w:fill="0B3A63"/>
            <w:vAlign w:val="center"/>
          </w:tcPr>
          <w:p w14:paraId="69A53B0E">
            <w:pPr>
              <w:spacing w:after="0" w:line="240" w:lineRule="auto"/>
            </w:pPr>
            <w:r>
              <w:rPr>
                <w:rFonts w:ascii="Aptos" w:hAnsi="Aptos"/>
                <w:b/>
                <w:color w:val="FFFFFF"/>
                <w:sz w:val="17"/>
              </w:rPr>
              <w:t>Item</w:t>
            </w:r>
          </w:p>
        </w:tc>
        <w:tc>
          <w:tcPr>
            <w:tcW w:w="792" w:type="dxa"/>
            <w:shd w:val="clear" w:color="auto" w:fill="0B3A63"/>
            <w:vAlign w:val="center"/>
          </w:tcPr>
          <w:p w14:paraId="539DF9E3">
            <w:pPr>
              <w:spacing w:after="0" w:line="240" w:lineRule="auto"/>
            </w:pPr>
            <w:r>
              <w:rPr>
                <w:rFonts w:ascii="Aptos" w:hAnsi="Aptos"/>
                <w:b/>
                <w:color w:val="FFFFFF"/>
                <w:sz w:val="17"/>
              </w:rPr>
              <w:t>Qty</w:t>
            </w:r>
          </w:p>
        </w:tc>
        <w:tc>
          <w:tcPr>
            <w:tcW w:w="5760" w:type="dxa"/>
            <w:shd w:val="clear" w:color="auto" w:fill="0B3A63"/>
            <w:vAlign w:val="center"/>
          </w:tcPr>
          <w:p w14:paraId="0A6271F8">
            <w:pPr>
              <w:spacing w:after="0" w:line="240" w:lineRule="auto"/>
            </w:pPr>
            <w:r>
              <w:rPr>
                <w:rFonts w:ascii="Aptos" w:hAnsi="Aptos"/>
                <w:b/>
                <w:color w:val="FFFFFF"/>
                <w:sz w:val="17"/>
              </w:rPr>
              <w:t>High-Level Specification</w:t>
            </w:r>
          </w:p>
        </w:tc>
      </w:tr>
      <w:tr w14:paraId="3134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vAlign w:val="center"/>
          </w:tcPr>
          <w:p w14:paraId="3F376FDF">
            <w:pPr>
              <w:spacing w:after="0" w:line="240" w:lineRule="auto"/>
            </w:pPr>
            <w:r>
              <w:rPr>
                <w:rFonts w:ascii="Aptos" w:hAnsi="Aptos"/>
                <w:b w:val="0"/>
                <w:sz w:val="16"/>
              </w:rPr>
              <w:t>1</w:t>
            </w:r>
          </w:p>
        </w:tc>
        <w:tc>
          <w:tcPr>
            <w:tcW w:w="3024" w:type="dxa"/>
            <w:vAlign w:val="center"/>
          </w:tcPr>
          <w:p w14:paraId="474BC56A">
            <w:pPr>
              <w:spacing w:after="0" w:line="240" w:lineRule="auto"/>
            </w:pPr>
            <w:r>
              <w:rPr>
                <w:rFonts w:ascii="Aptos" w:hAnsi="Aptos"/>
                <w:b w:val="0"/>
                <w:sz w:val="16"/>
              </w:rPr>
              <w:t>Enterprise Hyper-V DR server</w:t>
            </w:r>
          </w:p>
        </w:tc>
        <w:tc>
          <w:tcPr>
            <w:tcW w:w="792" w:type="dxa"/>
            <w:vAlign w:val="center"/>
          </w:tcPr>
          <w:p w14:paraId="3D0E55ED">
            <w:pPr>
              <w:spacing w:after="0" w:line="240" w:lineRule="auto"/>
            </w:pPr>
            <w:r>
              <w:rPr>
                <w:rFonts w:ascii="Aptos" w:hAnsi="Aptos"/>
                <w:b w:val="0"/>
                <w:sz w:val="16"/>
              </w:rPr>
              <w:t>2</w:t>
            </w:r>
          </w:p>
        </w:tc>
        <w:tc>
          <w:tcPr>
            <w:tcW w:w="5760" w:type="dxa"/>
            <w:vAlign w:val="center"/>
          </w:tcPr>
          <w:p w14:paraId="482215EE">
            <w:pPr>
              <w:spacing w:after="0" w:line="240" w:lineRule="auto"/>
            </w:pPr>
            <w:r>
              <w:rPr>
                <w:rFonts w:ascii="Aptos" w:hAnsi="Aptos"/>
                <w:b w:val="0"/>
                <w:sz w:val="16"/>
              </w:rPr>
              <w:t>Compatible enterprise servers; capacity for Tier-1/Tier-2 recovery workloads</w:t>
            </w:r>
          </w:p>
        </w:tc>
      </w:tr>
      <w:tr w14:paraId="5ABB1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F7F9FB"/>
            <w:vAlign w:val="center"/>
          </w:tcPr>
          <w:p w14:paraId="6839BA9D">
            <w:pPr>
              <w:spacing w:after="0" w:line="240" w:lineRule="auto"/>
            </w:pPr>
            <w:r>
              <w:rPr>
                <w:rFonts w:ascii="Aptos" w:hAnsi="Aptos"/>
                <w:b w:val="0"/>
                <w:sz w:val="16"/>
              </w:rPr>
              <w:t>2</w:t>
            </w:r>
          </w:p>
        </w:tc>
        <w:tc>
          <w:tcPr>
            <w:tcW w:w="3024" w:type="dxa"/>
            <w:shd w:val="clear" w:color="auto" w:fill="F7F9FB"/>
            <w:vAlign w:val="center"/>
          </w:tcPr>
          <w:p w14:paraId="18F14AF6">
            <w:pPr>
              <w:spacing w:after="0" w:line="240" w:lineRule="auto"/>
            </w:pPr>
            <w:r>
              <w:rPr>
                <w:rFonts w:ascii="Aptos" w:hAnsi="Aptos"/>
                <w:b w:val="0"/>
                <w:sz w:val="16"/>
              </w:rPr>
              <w:t>DR shared SAN</w:t>
            </w:r>
          </w:p>
        </w:tc>
        <w:tc>
          <w:tcPr>
            <w:tcW w:w="792" w:type="dxa"/>
            <w:shd w:val="clear" w:color="auto" w:fill="F7F9FB"/>
            <w:vAlign w:val="center"/>
          </w:tcPr>
          <w:p w14:paraId="181296E0">
            <w:pPr>
              <w:spacing w:after="0" w:line="240" w:lineRule="auto"/>
            </w:pPr>
            <w:r>
              <w:rPr>
                <w:rFonts w:ascii="Aptos" w:hAnsi="Aptos"/>
                <w:b w:val="0"/>
                <w:sz w:val="16"/>
              </w:rPr>
              <w:t>1</w:t>
            </w:r>
          </w:p>
        </w:tc>
        <w:tc>
          <w:tcPr>
            <w:tcW w:w="5760" w:type="dxa"/>
            <w:shd w:val="clear" w:color="auto" w:fill="F7F9FB"/>
            <w:vAlign w:val="center"/>
          </w:tcPr>
          <w:p w14:paraId="43DD8C19">
            <w:pPr>
              <w:spacing w:after="0" w:line="240" w:lineRule="auto"/>
            </w:pPr>
            <w:r>
              <w:rPr>
                <w:rFonts w:ascii="Aptos" w:hAnsi="Aptos"/>
                <w:b w:val="0"/>
                <w:sz w:val="16"/>
              </w:rPr>
              <w:t>Dual-controller, SSD/all-flash preferred, sized for replicas and recovery space</w:t>
            </w:r>
          </w:p>
        </w:tc>
      </w:tr>
      <w:tr w14:paraId="354A7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vAlign w:val="center"/>
          </w:tcPr>
          <w:p w14:paraId="01707B6A">
            <w:pPr>
              <w:spacing w:after="0" w:line="240" w:lineRule="auto"/>
            </w:pPr>
            <w:r>
              <w:rPr>
                <w:rFonts w:ascii="Aptos" w:hAnsi="Aptos"/>
                <w:b w:val="0"/>
                <w:sz w:val="16"/>
              </w:rPr>
              <w:t>3</w:t>
            </w:r>
          </w:p>
        </w:tc>
        <w:tc>
          <w:tcPr>
            <w:tcW w:w="3024" w:type="dxa"/>
            <w:vAlign w:val="center"/>
          </w:tcPr>
          <w:p w14:paraId="2A17AF33">
            <w:pPr>
              <w:spacing w:after="0" w:line="240" w:lineRule="auto"/>
            </w:pPr>
            <w:r>
              <w:rPr>
                <w:rFonts w:ascii="Aptos" w:hAnsi="Aptos"/>
                <w:b w:val="0"/>
                <w:sz w:val="16"/>
              </w:rPr>
              <w:t>DR core L3 switch</w:t>
            </w:r>
          </w:p>
        </w:tc>
        <w:tc>
          <w:tcPr>
            <w:tcW w:w="792" w:type="dxa"/>
            <w:vAlign w:val="center"/>
          </w:tcPr>
          <w:p w14:paraId="3618F2CB">
            <w:pPr>
              <w:spacing w:after="0" w:line="240" w:lineRule="auto"/>
            </w:pPr>
            <w:r>
              <w:rPr>
                <w:rFonts w:ascii="Aptos" w:hAnsi="Aptos"/>
                <w:b w:val="0"/>
                <w:sz w:val="16"/>
              </w:rPr>
              <w:t>2</w:t>
            </w:r>
          </w:p>
        </w:tc>
        <w:tc>
          <w:tcPr>
            <w:tcW w:w="5760" w:type="dxa"/>
            <w:vAlign w:val="center"/>
          </w:tcPr>
          <w:p w14:paraId="04BC7C9B">
            <w:pPr>
              <w:spacing w:after="0" w:line="240" w:lineRule="auto"/>
            </w:pPr>
            <w:r>
              <w:rPr>
                <w:rFonts w:ascii="Aptos" w:hAnsi="Aptos"/>
                <w:b w:val="0"/>
                <w:sz w:val="16"/>
              </w:rPr>
              <w:t>Redundant switching with 10/25Gb server/storage connectivity</w:t>
            </w:r>
          </w:p>
        </w:tc>
      </w:tr>
      <w:tr w14:paraId="4BE6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F7F9FB"/>
            <w:vAlign w:val="center"/>
          </w:tcPr>
          <w:p w14:paraId="0574C276">
            <w:pPr>
              <w:spacing w:after="0" w:line="240" w:lineRule="auto"/>
            </w:pPr>
            <w:r>
              <w:rPr>
                <w:rFonts w:ascii="Aptos" w:hAnsi="Aptos"/>
                <w:b w:val="0"/>
                <w:sz w:val="16"/>
              </w:rPr>
              <w:t>4</w:t>
            </w:r>
          </w:p>
        </w:tc>
        <w:tc>
          <w:tcPr>
            <w:tcW w:w="3024" w:type="dxa"/>
            <w:shd w:val="clear" w:color="auto" w:fill="F7F9FB"/>
            <w:vAlign w:val="center"/>
          </w:tcPr>
          <w:p w14:paraId="28223892">
            <w:pPr>
              <w:spacing w:after="0" w:line="240" w:lineRule="auto"/>
            </w:pPr>
            <w:r>
              <w:rPr>
                <w:rFonts w:ascii="Aptos" w:hAnsi="Aptos"/>
                <w:b w:val="0"/>
                <w:sz w:val="16"/>
              </w:rPr>
              <w:t>DR access/management switch</w:t>
            </w:r>
          </w:p>
        </w:tc>
        <w:tc>
          <w:tcPr>
            <w:tcW w:w="792" w:type="dxa"/>
            <w:shd w:val="clear" w:color="auto" w:fill="F7F9FB"/>
            <w:vAlign w:val="center"/>
          </w:tcPr>
          <w:p w14:paraId="26A46DC8">
            <w:pPr>
              <w:spacing w:after="0" w:line="240" w:lineRule="auto"/>
            </w:pPr>
            <w:r>
              <w:rPr>
                <w:rFonts w:ascii="Aptos" w:hAnsi="Aptos"/>
                <w:b w:val="0"/>
                <w:sz w:val="16"/>
              </w:rPr>
              <w:t>1</w:t>
            </w:r>
          </w:p>
        </w:tc>
        <w:tc>
          <w:tcPr>
            <w:tcW w:w="5760" w:type="dxa"/>
            <w:shd w:val="clear" w:color="auto" w:fill="F7F9FB"/>
            <w:vAlign w:val="center"/>
          </w:tcPr>
          <w:p w14:paraId="672F0096">
            <w:pPr>
              <w:spacing w:after="0" w:line="240" w:lineRule="auto"/>
            </w:pPr>
            <w:r>
              <w:rPr>
                <w:rFonts w:ascii="Aptos" w:hAnsi="Aptos"/>
                <w:b w:val="0"/>
                <w:sz w:val="16"/>
              </w:rPr>
              <w:t>Managed 24-port baseline; redundancy as required</w:t>
            </w:r>
          </w:p>
        </w:tc>
      </w:tr>
      <w:tr w14:paraId="50A5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vAlign w:val="center"/>
          </w:tcPr>
          <w:p w14:paraId="79407380">
            <w:pPr>
              <w:spacing w:after="0" w:line="240" w:lineRule="auto"/>
            </w:pPr>
            <w:r>
              <w:rPr>
                <w:rFonts w:ascii="Aptos" w:hAnsi="Aptos"/>
                <w:b w:val="0"/>
                <w:sz w:val="16"/>
              </w:rPr>
              <w:t>5</w:t>
            </w:r>
          </w:p>
        </w:tc>
        <w:tc>
          <w:tcPr>
            <w:tcW w:w="3024" w:type="dxa"/>
            <w:vAlign w:val="center"/>
          </w:tcPr>
          <w:p w14:paraId="40D5E85F">
            <w:pPr>
              <w:spacing w:after="0" w:line="240" w:lineRule="auto"/>
            </w:pPr>
            <w:r>
              <w:rPr>
                <w:rFonts w:ascii="Aptos" w:hAnsi="Aptos"/>
                <w:b w:val="0"/>
                <w:sz w:val="16"/>
              </w:rPr>
              <w:t>DR NGFW</w:t>
            </w:r>
          </w:p>
        </w:tc>
        <w:tc>
          <w:tcPr>
            <w:tcW w:w="792" w:type="dxa"/>
            <w:vAlign w:val="center"/>
          </w:tcPr>
          <w:p w14:paraId="74C7B454">
            <w:pPr>
              <w:spacing w:after="0" w:line="240" w:lineRule="auto"/>
            </w:pPr>
            <w:r>
              <w:rPr>
                <w:rFonts w:ascii="Aptos" w:hAnsi="Aptos"/>
                <w:b w:val="0"/>
                <w:sz w:val="16"/>
              </w:rPr>
              <w:t>2 / HA pair preferred</w:t>
            </w:r>
          </w:p>
        </w:tc>
        <w:tc>
          <w:tcPr>
            <w:tcW w:w="5760" w:type="dxa"/>
            <w:vAlign w:val="center"/>
          </w:tcPr>
          <w:p w14:paraId="5B484292">
            <w:pPr>
              <w:spacing w:after="0" w:line="240" w:lineRule="auto"/>
            </w:pPr>
            <w:r>
              <w:rPr>
                <w:rFonts w:ascii="Aptos" w:hAnsi="Aptos"/>
                <w:b w:val="0"/>
                <w:sz w:val="16"/>
              </w:rPr>
              <w:t>Secure WAN/VPN, segmentation and logging</w:t>
            </w:r>
          </w:p>
        </w:tc>
      </w:tr>
      <w:tr w14:paraId="0A53C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F7F9FB"/>
            <w:vAlign w:val="center"/>
          </w:tcPr>
          <w:p w14:paraId="0019583D">
            <w:pPr>
              <w:spacing w:after="0" w:line="240" w:lineRule="auto"/>
            </w:pPr>
            <w:r>
              <w:rPr>
                <w:rFonts w:ascii="Aptos" w:hAnsi="Aptos"/>
                <w:b w:val="0"/>
                <w:sz w:val="16"/>
              </w:rPr>
              <w:t>6</w:t>
            </w:r>
          </w:p>
        </w:tc>
        <w:tc>
          <w:tcPr>
            <w:tcW w:w="3024" w:type="dxa"/>
            <w:shd w:val="clear" w:color="auto" w:fill="F7F9FB"/>
            <w:vAlign w:val="center"/>
          </w:tcPr>
          <w:p w14:paraId="540E033C">
            <w:pPr>
              <w:spacing w:after="0" w:line="240" w:lineRule="auto"/>
            </w:pPr>
            <w:r>
              <w:rPr>
                <w:rFonts w:ascii="Aptos" w:hAnsi="Aptos"/>
                <w:b w:val="0"/>
                <w:sz w:val="16"/>
              </w:rPr>
              <w:t>DR backup repository</w:t>
            </w:r>
          </w:p>
        </w:tc>
        <w:tc>
          <w:tcPr>
            <w:tcW w:w="792" w:type="dxa"/>
            <w:shd w:val="clear" w:color="auto" w:fill="F7F9FB"/>
            <w:vAlign w:val="center"/>
          </w:tcPr>
          <w:p w14:paraId="746CD0D0">
            <w:pPr>
              <w:spacing w:line="240" w:lineRule="auto"/>
            </w:pPr>
            <w:r>
              <w:t>1</w:t>
            </w:r>
          </w:p>
        </w:tc>
        <w:tc>
          <w:tcPr>
            <w:tcW w:w="5760" w:type="dxa"/>
            <w:shd w:val="clear" w:color="auto" w:fill="F7F9FB"/>
            <w:vAlign w:val="center"/>
          </w:tcPr>
          <w:p w14:paraId="27EF270E">
            <w:pPr>
              <w:spacing w:line="240" w:lineRule="auto"/>
            </w:pPr>
            <w:r>
              <w:t>Separate physical off-site repository at DR; receives encrypted backup copies and supports DR recovery/testing</w:t>
            </w:r>
          </w:p>
        </w:tc>
      </w:tr>
      <w:tr w14:paraId="3188D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vAlign w:val="center"/>
          </w:tcPr>
          <w:p w14:paraId="6B073213">
            <w:pPr>
              <w:spacing w:after="0" w:line="240" w:lineRule="auto"/>
            </w:pPr>
            <w:r>
              <w:rPr>
                <w:rFonts w:ascii="Aptos" w:hAnsi="Aptos"/>
                <w:b w:val="0"/>
                <w:sz w:val="16"/>
              </w:rPr>
              <w:t>7</w:t>
            </w:r>
          </w:p>
        </w:tc>
        <w:tc>
          <w:tcPr>
            <w:tcW w:w="3024" w:type="dxa"/>
            <w:vAlign w:val="center"/>
          </w:tcPr>
          <w:p w14:paraId="4A513A4F">
            <w:pPr>
              <w:spacing w:after="0" w:line="240" w:lineRule="auto"/>
            </w:pPr>
            <w:r>
              <w:rPr>
                <w:rFonts w:ascii="Aptos" w:hAnsi="Aptos"/>
                <w:b w:val="0"/>
                <w:sz w:val="16"/>
              </w:rPr>
              <w:t>WAN termination / SD-WAN</w:t>
            </w:r>
          </w:p>
        </w:tc>
        <w:tc>
          <w:tcPr>
            <w:tcW w:w="792" w:type="dxa"/>
            <w:vAlign w:val="center"/>
          </w:tcPr>
          <w:p w14:paraId="2897041F">
            <w:pPr>
              <w:spacing w:after="0" w:line="240" w:lineRule="auto"/>
            </w:pPr>
            <w:r>
              <w:rPr>
                <w:rFonts w:ascii="Aptos" w:hAnsi="Aptos"/>
                <w:b w:val="0"/>
                <w:sz w:val="16"/>
              </w:rPr>
              <w:t>As required</w:t>
            </w:r>
          </w:p>
        </w:tc>
        <w:tc>
          <w:tcPr>
            <w:tcW w:w="5760" w:type="dxa"/>
            <w:vAlign w:val="center"/>
          </w:tcPr>
          <w:p w14:paraId="5BD75071">
            <w:pPr>
              <w:spacing w:after="0" w:line="240" w:lineRule="auto"/>
            </w:pPr>
            <w:r>
              <w:rPr>
                <w:rFonts w:ascii="Aptos" w:hAnsi="Aptos"/>
                <w:b w:val="0"/>
                <w:sz w:val="16"/>
              </w:rPr>
              <w:t>Encrypted inter-site connectivity sized for replication RPO</w:t>
            </w:r>
          </w:p>
        </w:tc>
      </w:tr>
      <w:tr w14:paraId="13C2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F7F9FB"/>
            <w:vAlign w:val="center"/>
          </w:tcPr>
          <w:p w14:paraId="57807EAE">
            <w:pPr>
              <w:spacing w:after="0" w:line="240" w:lineRule="auto"/>
            </w:pPr>
            <w:r>
              <w:rPr>
                <w:rFonts w:ascii="Aptos" w:hAnsi="Aptos"/>
                <w:b w:val="0"/>
                <w:sz w:val="16"/>
              </w:rPr>
              <w:t>8</w:t>
            </w:r>
          </w:p>
        </w:tc>
        <w:tc>
          <w:tcPr>
            <w:tcW w:w="3024" w:type="dxa"/>
            <w:shd w:val="clear" w:color="auto" w:fill="F7F9FB"/>
            <w:vAlign w:val="center"/>
          </w:tcPr>
          <w:p w14:paraId="212F8C2F">
            <w:pPr>
              <w:spacing w:after="0" w:line="240" w:lineRule="auto"/>
            </w:pPr>
            <w:r>
              <w:rPr>
                <w:rFonts w:ascii="Aptos" w:hAnsi="Aptos"/>
                <w:b w:val="0"/>
                <w:sz w:val="16"/>
              </w:rPr>
              <w:t>Rack/PDUs/cabling</w:t>
            </w:r>
          </w:p>
        </w:tc>
        <w:tc>
          <w:tcPr>
            <w:tcW w:w="792" w:type="dxa"/>
            <w:shd w:val="clear" w:color="auto" w:fill="F7F9FB"/>
            <w:vAlign w:val="center"/>
          </w:tcPr>
          <w:p w14:paraId="6EF2814A">
            <w:pPr>
              <w:spacing w:after="0" w:line="240" w:lineRule="auto"/>
            </w:pPr>
            <w:r>
              <w:rPr>
                <w:rFonts w:ascii="Aptos" w:hAnsi="Aptos"/>
                <w:b w:val="0"/>
                <w:sz w:val="16"/>
              </w:rPr>
              <w:t>1 lot</w:t>
            </w:r>
          </w:p>
        </w:tc>
        <w:tc>
          <w:tcPr>
            <w:tcW w:w="5760" w:type="dxa"/>
            <w:shd w:val="clear" w:color="auto" w:fill="F7F9FB"/>
            <w:vAlign w:val="center"/>
          </w:tcPr>
          <w:p w14:paraId="650145B3">
            <w:pPr>
              <w:spacing w:after="0" w:line="240" w:lineRule="auto"/>
            </w:pPr>
            <w:r>
              <w:rPr>
                <w:rFonts w:ascii="Aptos" w:hAnsi="Aptos"/>
                <w:b w:val="0"/>
                <w:sz w:val="16"/>
              </w:rPr>
              <w:t>Redundant power and structured cabling</w:t>
            </w:r>
          </w:p>
        </w:tc>
      </w:tr>
    </w:tbl>
    <w:p w14:paraId="3A7F60CD">
      <w:pPr>
        <w:spacing w:after="20"/>
      </w:pPr>
    </w:p>
    <w:p w14:paraId="5E68B9EA">
      <w:pPr>
        <w:pStyle w:val="3"/>
      </w:pPr>
      <w:r>
        <w:t>7.3 Software and Licensing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
        <w:gridCol w:w="3319"/>
        <w:gridCol w:w="1575"/>
        <w:gridCol w:w="5002"/>
      </w:tblGrid>
      <w:tr w14:paraId="3602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0B3A63"/>
            <w:vAlign w:val="center"/>
          </w:tcPr>
          <w:p w14:paraId="1FC3C92B">
            <w:pPr>
              <w:spacing w:after="0" w:line="240" w:lineRule="auto"/>
            </w:pPr>
            <w:r>
              <w:rPr>
                <w:rFonts w:ascii="Aptos" w:hAnsi="Aptos"/>
                <w:b/>
                <w:color w:val="FFFFFF"/>
                <w:sz w:val="17"/>
              </w:rPr>
              <w:t>#</w:t>
            </w:r>
          </w:p>
        </w:tc>
        <w:tc>
          <w:tcPr>
            <w:tcW w:w="3600" w:type="dxa"/>
            <w:shd w:val="clear" w:color="auto" w:fill="0B3A63"/>
            <w:vAlign w:val="center"/>
          </w:tcPr>
          <w:p w14:paraId="38D6D474">
            <w:pPr>
              <w:spacing w:after="0" w:line="240" w:lineRule="auto"/>
            </w:pPr>
            <w:r>
              <w:rPr>
                <w:rFonts w:ascii="Aptos" w:hAnsi="Aptos"/>
                <w:b/>
                <w:color w:val="FFFFFF"/>
                <w:sz w:val="17"/>
              </w:rPr>
              <w:t>Software</w:t>
            </w:r>
          </w:p>
        </w:tc>
        <w:tc>
          <w:tcPr>
            <w:tcW w:w="1584" w:type="dxa"/>
            <w:shd w:val="clear" w:color="auto" w:fill="0B3A63"/>
            <w:vAlign w:val="center"/>
          </w:tcPr>
          <w:p w14:paraId="127EA4A0">
            <w:pPr>
              <w:spacing w:after="0" w:line="240" w:lineRule="auto"/>
            </w:pPr>
            <w:r>
              <w:rPr>
                <w:rFonts w:ascii="Aptos" w:hAnsi="Aptos"/>
                <w:b/>
                <w:color w:val="FFFFFF"/>
                <w:sz w:val="17"/>
              </w:rPr>
              <w:t>Qty / Basis</w:t>
            </w:r>
          </w:p>
        </w:tc>
        <w:tc>
          <w:tcPr>
            <w:tcW w:w="5616" w:type="dxa"/>
            <w:shd w:val="clear" w:color="auto" w:fill="0B3A63"/>
            <w:vAlign w:val="center"/>
          </w:tcPr>
          <w:p w14:paraId="7767B8C2">
            <w:pPr>
              <w:spacing w:after="0" w:line="240" w:lineRule="auto"/>
            </w:pPr>
            <w:r>
              <w:rPr>
                <w:rFonts w:ascii="Aptos" w:hAnsi="Aptos"/>
                <w:b/>
                <w:color w:val="FFFFFF"/>
                <w:sz w:val="17"/>
              </w:rPr>
              <w:t>Purpose</w:t>
            </w:r>
          </w:p>
        </w:tc>
      </w:tr>
      <w:tr w14:paraId="14BF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vAlign w:val="center"/>
          </w:tcPr>
          <w:p w14:paraId="5289F34D">
            <w:pPr>
              <w:spacing w:after="0" w:line="240" w:lineRule="auto"/>
            </w:pPr>
            <w:r>
              <w:rPr>
                <w:rFonts w:ascii="Aptos" w:hAnsi="Aptos"/>
                <w:b w:val="0"/>
                <w:sz w:val="16"/>
              </w:rPr>
              <w:t>1</w:t>
            </w:r>
          </w:p>
        </w:tc>
        <w:tc>
          <w:tcPr>
            <w:tcW w:w="3600" w:type="dxa"/>
            <w:vAlign w:val="center"/>
          </w:tcPr>
          <w:p w14:paraId="1359FA18">
            <w:pPr>
              <w:spacing w:after="0" w:line="240" w:lineRule="auto"/>
            </w:pPr>
            <w:r>
              <w:rPr>
                <w:rFonts w:ascii="Aptos" w:hAnsi="Aptos"/>
                <w:b w:val="0"/>
                <w:sz w:val="16"/>
              </w:rPr>
              <w:t>Windows Server Datacenter</w:t>
            </w:r>
          </w:p>
        </w:tc>
        <w:tc>
          <w:tcPr>
            <w:tcW w:w="1584" w:type="dxa"/>
            <w:vAlign w:val="center"/>
          </w:tcPr>
          <w:p w14:paraId="0373E799">
            <w:pPr>
              <w:spacing w:after="0" w:line="240" w:lineRule="auto"/>
            </w:pPr>
            <w:r>
              <w:rPr>
                <w:rFonts w:ascii="Aptos" w:hAnsi="Aptos"/>
                <w:b w:val="0"/>
                <w:sz w:val="16"/>
              </w:rPr>
              <w:t>Per physical cores on all Hyper-V hosts</w:t>
            </w:r>
          </w:p>
        </w:tc>
        <w:tc>
          <w:tcPr>
            <w:tcW w:w="5616" w:type="dxa"/>
            <w:vAlign w:val="center"/>
          </w:tcPr>
          <w:p w14:paraId="18A7E79E">
            <w:pPr>
              <w:spacing w:after="0" w:line="240" w:lineRule="auto"/>
            </w:pPr>
            <w:r>
              <w:rPr>
                <w:rFonts w:ascii="Aptos" w:hAnsi="Aptos"/>
                <w:b w:val="0"/>
                <w:sz w:val="16"/>
              </w:rPr>
              <w:t>Hyper-V, WSFC and Windows Server VM virtualization rights</w:t>
            </w:r>
          </w:p>
        </w:tc>
      </w:tr>
      <w:tr w14:paraId="4F17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F7F9FB"/>
            <w:vAlign w:val="center"/>
          </w:tcPr>
          <w:p w14:paraId="168A8F91">
            <w:pPr>
              <w:spacing w:after="0" w:line="240" w:lineRule="auto"/>
            </w:pPr>
            <w:r>
              <w:rPr>
                <w:rFonts w:ascii="Aptos" w:hAnsi="Aptos"/>
                <w:b w:val="0"/>
                <w:sz w:val="16"/>
              </w:rPr>
              <w:t>2</w:t>
            </w:r>
          </w:p>
        </w:tc>
        <w:tc>
          <w:tcPr>
            <w:tcW w:w="3600" w:type="dxa"/>
            <w:shd w:val="clear" w:color="auto" w:fill="F7F9FB"/>
            <w:vAlign w:val="center"/>
          </w:tcPr>
          <w:p w14:paraId="0C99E127">
            <w:pPr>
              <w:spacing w:after="0" w:line="240" w:lineRule="auto"/>
            </w:pPr>
            <w:r>
              <w:rPr>
                <w:rFonts w:ascii="Aptos" w:hAnsi="Aptos"/>
                <w:b w:val="0"/>
                <w:sz w:val="16"/>
              </w:rPr>
              <w:t>Windows Server CALs</w:t>
            </w:r>
          </w:p>
        </w:tc>
        <w:tc>
          <w:tcPr>
            <w:tcW w:w="1584" w:type="dxa"/>
            <w:shd w:val="clear" w:color="auto" w:fill="F7F9FB"/>
            <w:vAlign w:val="center"/>
          </w:tcPr>
          <w:p w14:paraId="3FB558C8">
            <w:pPr>
              <w:spacing w:after="0" w:line="240" w:lineRule="auto"/>
            </w:pPr>
            <w:r>
              <w:rPr>
                <w:rFonts w:ascii="Aptos" w:hAnsi="Aptos"/>
                <w:b w:val="0"/>
                <w:sz w:val="16"/>
              </w:rPr>
              <w:t>Per user/device as applicable</w:t>
            </w:r>
          </w:p>
        </w:tc>
        <w:tc>
          <w:tcPr>
            <w:tcW w:w="5616" w:type="dxa"/>
            <w:shd w:val="clear" w:color="auto" w:fill="F7F9FB"/>
            <w:vAlign w:val="center"/>
          </w:tcPr>
          <w:p w14:paraId="6860CB81">
            <w:pPr>
              <w:spacing w:after="0" w:line="240" w:lineRule="auto"/>
            </w:pPr>
            <w:r>
              <w:rPr>
                <w:rFonts w:ascii="Aptos" w:hAnsi="Aptos"/>
                <w:b w:val="0"/>
                <w:sz w:val="16"/>
              </w:rPr>
              <w:t>Windows Server access licensing</w:t>
            </w:r>
          </w:p>
        </w:tc>
      </w:tr>
      <w:tr w14:paraId="12DFE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vAlign w:val="center"/>
          </w:tcPr>
          <w:p w14:paraId="24C8E9DE">
            <w:pPr>
              <w:spacing w:after="0" w:line="240" w:lineRule="auto"/>
            </w:pPr>
            <w:r>
              <w:rPr>
                <w:rFonts w:ascii="Aptos" w:hAnsi="Aptos"/>
                <w:b w:val="0"/>
                <w:sz w:val="16"/>
              </w:rPr>
              <w:t>3</w:t>
            </w:r>
          </w:p>
        </w:tc>
        <w:tc>
          <w:tcPr>
            <w:tcW w:w="3600" w:type="dxa"/>
            <w:vAlign w:val="center"/>
          </w:tcPr>
          <w:p w14:paraId="362588CF">
            <w:pPr>
              <w:spacing w:after="0" w:line="240" w:lineRule="auto"/>
            </w:pPr>
            <w:r>
              <w:rPr>
                <w:rFonts w:ascii="Aptos" w:hAnsi="Aptos"/>
                <w:b w:val="0"/>
                <w:sz w:val="16"/>
              </w:rPr>
              <w:t>Veeam Backup &amp; Replication / Veeam Data Platform edition</w:t>
            </w:r>
          </w:p>
        </w:tc>
        <w:tc>
          <w:tcPr>
            <w:tcW w:w="1584" w:type="dxa"/>
            <w:vAlign w:val="center"/>
          </w:tcPr>
          <w:p w14:paraId="1F14EF28">
            <w:pPr>
              <w:spacing w:after="0" w:line="240" w:lineRule="auto"/>
            </w:pPr>
            <w:r>
              <w:rPr>
                <w:rFonts w:ascii="Aptos" w:hAnsi="Aptos"/>
                <w:b w:val="0"/>
                <w:sz w:val="16"/>
              </w:rPr>
              <w:t>Per final protected-workload licensing basis</w:t>
            </w:r>
          </w:p>
        </w:tc>
        <w:tc>
          <w:tcPr>
            <w:tcW w:w="5616" w:type="dxa"/>
            <w:vAlign w:val="center"/>
          </w:tcPr>
          <w:p w14:paraId="09DF72B0">
            <w:pPr>
              <w:spacing w:after="0" w:line="240" w:lineRule="auto"/>
            </w:pPr>
            <w:r>
              <w:rPr>
                <w:rFonts w:ascii="Aptos" w:hAnsi="Aptos"/>
                <w:b w:val="0"/>
                <w:sz w:val="16"/>
              </w:rPr>
              <w:t>Backup, recovery, replication, immutable/off-site copy workflows</w:t>
            </w:r>
          </w:p>
        </w:tc>
      </w:tr>
      <w:tr w14:paraId="55F81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F7F9FB"/>
            <w:vAlign w:val="center"/>
          </w:tcPr>
          <w:p w14:paraId="61581E6F">
            <w:pPr>
              <w:spacing w:after="0" w:line="240" w:lineRule="auto"/>
            </w:pPr>
            <w:r>
              <w:rPr>
                <w:rFonts w:ascii="Aptos" w:hAnsi="Aptos"/>
                <w:b w:val="0"/>
                <w:sz w:val="16"/>
              </w:rPr>
              <w:t>4</w:t>
            </w:r>
          </w:p>
        </w:tc>
        <w:tc>
          <w:tcPr>
            <w:tcW w:w="3600" w:type="dxa"/>
            <w:shd w:val="clear" w:color="auto" w:fill="F7F9FB"/>
            <w:vAlign w:val="center"/>
          </w:tcPr>
          <w:p w14:paraId="55EF1701">
            <w:pPr>
              <w:spacing w:after="0" w:line="240" w:lineRule="auto"/>
            </w:pPr>
            <w:r>
              <w:rPr>
                <w:rFonts w:ascii="Aptos" w:hAnsi="Aptos"/>
                <w:b w:val="0"/>
                <w:sz w:val="16"/>
              </w:rPr>
              <w:t>Linux OS for hardened repository</w:t>
            </w:r>
          </w:p>
        </w:tc>
        <w:tc>
          <w:tcPr>
            <w:tcW w:w="1584" w:type="dxa"/>
            <w:shd w:val="clear" w:color="auto" w:fill="F7F9FB"/>
            <w:vAlign w:val="center"/>
          </w:tcPr>
          <w:p w14:paraId="16E2B51D">
            <w:pPr>
              <w:spacing w:after="0" w:line="240" w:lineRule="auto"/>
            </w:pPr>
            <w:r>
              <w:rPr>
                <w:rFonts w:ascii="Aptos" w:hAnsi="Aptos"/>
                <w:b w:val="0"/>
                <w:sz w:val="16"/>
              </w:rPr>
              <w:t>1–2 instances</w:t>
            </w:r>
          </w:p>
        </w:tc>
        <w:tc>
          <w:tcPr>
            <w:tcW w:w="5616" w:type="dxa"/>
            <w:shd w:val="clear" w:color="auto" w:fill="F7F9FB"/>
            <w:vAlign w:val="center"/>
          </w:tcPr>
          <w:p w14:paraId="77129780">
            <w:pPr>
              <w:spacing w:after="0" w:line="240" w:lineRule="auto"/>
            </w:pPr>
            <w:r>
              <w:rPr>
                <w:rFonts w:ascii="Aptos" w:hAnsi="Aptos"/>
                <w:b w:val="0"/>
                <w:sz w:val="16"/>
              </w:rPr>
              <w:t>Immutable Veeam repository; choose supported distribution/version</w:t>
            </w:r>
          </w:p>
        </w:tc>
      </w:tr>
      <w:tr w14:paraId="5429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vAlign w:val="center"/>
          </w:tcPr>
          <w:p w14:paraId="7306C999">
            <w:pPr>
              <w:spacing w:after="0" w:line="240" w:lineRule="auto"/>
            </w:pPr>
            <w:r>
              <w:rPr>
                <w:rFonts w:ascii="Aptos" w:hAnsi="Aptos"/>
                <w:b w:val="0"/>
                <w:sz w:val="16"/>
              </w:rPr>
              <w:t>5</w:t>
            </w:r>
          </w:p>
        </w:tc>
        <w:tc>
          <w:tcPr>
            <w:tcW w:w="3600" w:type="dxa"/>
            <w:vAlign w:val="center"/>
          </w:tcPr>
          <w:p w14:paraId="4AD53E26">
            <w:pPr>
              <w:spacing w:after="0" w:line="240" w:lineRule="auto"/>
            </w:pPr>
            <w:r>
              <w:rPr>
                <w:rFonts w:ascii="Aptos" w:hAnsi="Aptos"/>
                <w:b w:val="0"/>
                <w:sz w:val="16"/>
              </w:rPr>
              <w:t>Database platform license</w:t>
            </w:r>
          </w:p>
        </w:tc>
        <w:tc>
          <w:tcPr>
            <w:tcW w:w="1584" w:type="dxa"/>
            <w:vAlign w:val="center"/>
          </w:tcPr>
          <w:p w14:paraId="0D9A337A">
            <w:pPr>
              <w:spacing w:after="0" w:line="240" w:lineRule="auto"/>
            </w:pPr>
            <w:r>
              <w:rPr>
                <w:rFonts w:ascii="Aptos" w:hAnsi="Aptos"/>
                <w:b w:val="0"/>
                <w:sz w:val="16"/>
              </w:rPr>
              <w:t>As application requires</w:t>
            </w:r>
          </w:p>
        </w:tc>
        <w:tc>
          <w:tcPr>
            <w:tcW w:w="5616" w:type="dxa"/>
            <w:vAlign w:val="center"/>
          </w:tcPr>
          <w:p w14:paraId="5A223766">
            <w:pPr>
              <w:spacing w:after="0" w:line="240" w:lineRule="auto"/>
            </w:pPr>
            <w:r>
              <w:rPr>
                <w:rFonts w:ascii="Aptos" w:hAnsi="Aptos"/>
                <w:b w:val="0"/>
                <w:sz w:val="16"/>
              </w:rPr>
              <w:t>Application database and HA/DR; exact edition TBC</w:t>
            </w:r>
          </w:p>
        </w:tc>
      </w:tr>
      <w:tr w14:paraId="5196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F7F9FB"/>
            <w:vAlign w:val="center"/>
          </w:tcPr>
          <w:p w14:paraId="4EDD9B76">
            <w:pPr>
              <w:spacing w:after="0" w:line="240" w:lineRule="auto"/>
            </w:pPr>
            <w:r>
              <w:rPr>
                <w:rFonts w:ascii="Aptos" w:hAnsi="Aptos"/>
                <w:b w:val="0"/>
                <w:sz w:val="16"/>
              </w:rPr>
              <w:t>6</w:t>
            </w:r>
          </w:p>
        </w:tc>
        <w:tc>
          <w:tcPr>
            <w:tcW w:w="3600" w:type="dxa"/>
            <w:shd w:val="clear" w:color="auto" w:fill="F7F9FB"/>
            <w:vAlign w:val="center"/>
          </w:tcPr>
          <w:p w14:paraId="0CAAFDBB">
            <w:pPr>
              <w:spacing w:after="0" w:line="240" w:lineRule="auto"/>
            </w:pPr>
            <w:r>
              <w:rPr>
                <w:rFonts w:ascii="Aptos" w:hAnsi="Aptos"/>
                <w:b w:val="0"/>
                <w:sz w:val="16"/>
              </w:rPr>
              <w:t>NGFW subscriptions</w:t>
            </w:r>
          </w:p>
        </w:tc>
        <w:tc>
          <w:tcPr>
            <w:tcW w:w="1584" w:type="dxa"/>
            <w:shd w:val="clear" w:color="auto" w:fill="F7F9FB"/>
            <w:vAlign w:val="center"/>
          </w:tcPr>
          <w:p w14:paraId="60206EE3">
            <w:pPr>
              <w:spacing w:after="0" w:line="240" w:lineRule="auto"/>
            </w:pPr>
            <w:r>
              <w:rPr>
                <w:rFonts w:ascii="Aptos" w:hAnsi="Aptos"/>
                <w:b w:val="0"/>
                <w:sz w:val="16"/>
              </w:rPr>
              <w:t>Per firewall / term</w:t>
            </w:r>
          </w:p>
        </w:tc>
        <w:tc>
          <w:tcPr>
            <w:tcW w:w="5616" w:type="dxa"/>
            <w:shd w:val="clear" w:color="auto" w:fill="F7F9FB"/>
            <w:vAlign w:val="center"/>
          </w:tcPr>
          <w:p w14:paraId="0F3635D2">
            <w:pPr>
              <w:spacing w:after="0" w:line="240" w:lineRule="auto"/>
            </w:pPr>
            <w:r>
              <w:rPr>
                <w:rFonts w:ascii="Aptos" w:hAnsi="Aptos"/>
                <w:b w:val="0"/>
                <w:sz w:val="16"/>
              </w:rPr>
              <w:t>IPS, malware protection, URL/app controls, support</w:t>
            </w:r>
          </w:p>
        </w:tc>
      </w:tr>
      <w:tr w14:paraId="12A9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vAlign w:val="center"/>
          </w:tcPr>
          <w:p w14:paraId="1662F35C">
            <w:pPr>
              <w:spacing w:after="0" w:line="240" w:lineRule="auto"/>
            </w:pPr>
            <w:r>
              <w:rPr>
                <w:rFonts w:ascii="Aptos" w:hAnsi="Aptos"/>
                <w:b w:val="0"/>
                <w:sz w:val="16"/>
              </w:rPr>
              <w:t>7</w:t>
            </w:r>
          </w:p>
        </w:tc>
        <w:tc>
          <w:tcPr>
            <w:tcW w:w="3600" w:type="dxa"/>
            <w:vAlign w:val="center"/>
          </w:tcPr>
          <w:p w14:paraId="6A70C891">
            <w:pPr>
              <w:spacing w:after="0" w:line="240" w:lineRule="auto"/>
            </w:pPr>
            <w:r>
              <w:rPr>
                <w:rFonts w:ascii="Aptos" w:hAnsi="Aptos"/>
                <w:b w:val="0"/>
                <w:sz w:val="16"/>
              </w:rPr>
              <w:t>Server/SAN/switch management/support</w:t>
            </w:r>
          </w:p>
        </w:tc>
        <w:tc>
          <w:tcPr>
            <w:tcW w:w="1584" w:type="dxa"/>
            <w:vAlign w:val="center"/>
          </w:tcPr>
          <w:p w14:paraId="14E4AD07">
            <w:pPr>
              <w:spacing w:after="0" w:line="240" w:lineRule="auto"/>
            </w:pPr>
            <w:r>
              <w:rPr>
                <w:rFonts w:ascii="Aptos" w:hAnsi="Aptos"/>
                <w:b w:val="0"/>
                <w:sz w:val="16"/>
              </w:rPr>
              <w:t>Per OEM / 3–5 years</w:t>
            </w:r>
          </w:p>
        </w:tc>
        <w:tc>
          <w:tcPr>
            <w:tcW w:w="5616" w:type="dxa"/>
            <w:vAlign w:val="center"/>
          </w:tcPr>
          <w:p w14:paraId="7367B93A">
            <w:pPr>
              <w:spacing w:after="0" w:line="240" w:lineRule="auto"/>
            </w:pPr>
            <w:r>
              <w:rPr>
                <w:rFonts w:ascii="Aptos" w:hAnsi="Aptos"/>
                <w:b w:val="0"/>
                <w:sz w:val="16"/>
              </w:rPr>
              <w:t>Firmware, warranty, hardware replacement and support</w:t>
            </w:r>
          </w:p>
        </w:tc>
      </w:tr>
      <w:tr w14:paraId="6A7C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F7F9FB"/>
            <w:vAlign w:val="center"/>
          </w:tcPr>
          <w:p w14:paraId="6AA25CD2">
            <w:pPr>
              <w:spacing w:after="0" w:line="240" w:lineRule="auto"/>
            </w:pPr>
            <w:r>
              <w:rPr>
                <w:rFonts w:ascii="Aptos" w:hAnsi="Aptos"/>
                <w:b w:val="0"/>
                <w:sz w:val="16"/>
              </w:rPr>
              <w:t>8</w:t>
            </w:r>
          </w:p>
        </w:tc>
        <w:tc>
          <w:tcPr>
            <w:tcW w:w="3600" w:type="dxa"/>
            <w:shd w:val="clear" w:color="auto" w:fill="F7F9FB"/>
            <w:vAlign w:val="center"/>
          </w:tcPr>
          <w:p w14:paraId="32815A81">
            <w:pPr>
              <w:spacing w:after="0" w:line="240" w:lineRule="auto"/>
            </w:pPr>
            <w:r>
              <w:rPr>
                <w:rFonts w:ascii="Aptos" w:hAnsi="Aptos"/>
                <w:b w:val="0"/>
                <w:sz w:val="16"/>
              </w:rPr>
              <w:t>EDR</w:t>
            </w:r>
          </w:p>
        </w:tc>
        <w:tc>
          <w:tcPr>
            <w:tcW w:w="1584" w:type="dxa"/>
            <w:shd w:val="clear" w:color="auto" w:fill="F7F9FB"/>
            <w:vAlign w:val="center"/>
          </w:tcPr>
          <w:p w14:paraId="68463190">
            <w:pPr>
              <w:spacing w:after="0" w:line="240" w:lineRule="auto"/>
            </w:pPr>
            <w:r>
              <w:rPr>
                <w:rFonts w:ascii="Aptos" w:hAnsi="Aptos"/>
                <w:b w:val="0"/>
                <w:sz w:val="16"/>
              </w:rPr>
              <w:t>Per server/workstation</w:t>
            </w:r>
          </w:p>
        </w:tc>
        <w:tc>
          <w:tcPr>
            <w:tcW w:w="5616" w:type="dxa"/>
            <w:shd w:val="clear" w:color="auto" w:fill="F7F9FB"/>
            <w:vAlign w:val="center"/>
          </w:tcPr>
          <w:p w14:paraId="338A13AF">
            <w:pPr>
              <w:spacing w:after="0" w:line="240" w:lineRule="auto"/>
            </w:pPr>
            <w:r>
              <w:rPr>
                <w:rFonts w:ascii="Aptos" w:hAnsi="Aptos"/>
                <w:b w:val="0"/>
                <w:sz w:val="16"/>
              </w:rPr>
              <w:t>Endpoint protection required by security architecture</w:t>
            </w:r>
          </w:p>
        </w:tc>
      </w:tr>
      <w:tr w14:paraId="7DF87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vAlign w:val="center"/>
          </w:tcPr>
          <w:p w14:paraId="235D2FB2">
            <w:pPr>
              <w:spacing w:after="0" w:line="240" w:lineRule="auto"/>
            </w:pPr>
            <w:r>
              <w:rPr>
                <w:rFonts w:ascii="Aptos" w:hAnsi="Aptos"/>
                <w:b w:val="0"/>
                <w:sz w:val="16"/>
              </w:rPr>
              <w:t>9</w:t>
            </w:r>
          </w:p>
        </w:tc>
        <w:tc>
          <w:tcPr>
            <w:tcW w:w="3600" w:type="dxa"/>
            <w:vAlign w:val="center"/>
          </w:tcPr>
          <w:p w14:paraId="6DCFC305">
            <w:pPr>
              <w:spacing w:after="0" w:line="240" w:lineRule="auto"/>
            </w:pPr>
            <w:r>
              <w:rPr>
                <w:rFonts w:ascii="Aptos" w:hAnsi="Aptos"/>
                <w:b w:val="0"/>
                <w:sz w:val="16"/>
              </w:rPr>
              <w:t>Monitoring/SIEM integration</w:t>
            </w:r>
          </w:p>
        </w:tc>
        <w:tc>
          <w:tcPr>
            <w:tcW w:w="1584" w:type="dxa"/>
            <w:vAlign w:val="center"/>
          </w:tcPr>
          <w:p w14:paraId="2A167527">
            <w:pPr>
              <w:spacing w:after="0" w:line="240" w:lineRule="auto"/>
            </w:pPr>
            <w:r>
              <w:rPr>
                <w:rFonts w:ascii="Aptos" w:hAnsi="Aptos"/>
                <w:b w:val="0"/>
                <w:sz w:val="16"/>
              </w:rPr>
              <w:t>As required</w:t>
            </w:r>
          </w:p>
        </w:tc>
        <w:tc>
          <w:tcPr>
            <w:tcW w:w="5616" w:type="dxa"/>
            <w:vAlign w:val="center"/>
          </w:tcPr>
          <w:p w14:paraId="165C4B62">
            <w:pPr>
              <w:spacing w:after="0" w:line="240" w:lineRule="auto"/>
            </w:pPr>
            <w:r>
              <w:rPr>
                <w:rFonts w:ascii="Aptos" w:hAnsi="Aptos"/>
                <w:b w:val="0"/>
                <w:sz w:val="16"/>
              </w:rPr>
              <w:t>Central monitoring, logging, alerting and audit</w:t>
            </w:r>
          </w:p>
        </w:tc>
      </w:tr>
      <w:tr w14:paraId="74ED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 w:type="dxa"/>
            <w:shd w:val="clear" w:color="auto" w:fill="F7F9FB"/>
            <w:vAlign w:val="center"/>
          </w:tcPr>
          <w:p w14:paraId="6121B479">
            <w:pPr>
              <w:spacing w:after="0" w:line="240" w:lineRule="auto"/>
            </w:pPr>
            <w:r>
              <w:rPr>
                <w:rFonts w:ascii="Aptos" w:hAnsi="Aptos"/>
                <w:b w:val="0"/>
                <w:sz w:val="16"/>
              </w:rPr>
              <w:t>10</w:t>
            </w:r>
          </w:p>
        </w:tc>
        <w:tc>
          <w:tcPr>
            <w:tcW w:w="3600" w:type="dxa"/>
            <w:shd w:val="clear" w:color="auto" w:fill="F7F9FB"/>
            <w:vAlign w:val="center"/>
          </w:tcPr>
          <w:p w14:paraId="052B48F5">
            <w:pPr>
              <w:spacing w:after="0" w:line="240" w:lineRule="auto"/>
            </w:pPr>
            <w:r>
              <w:rPr>
                <w:rFonts w:ascii="Aptos" w:hAnsi="Aptos"/>
                <w:b w:val="0"/>
                <w:sz w:val="16"/>
              </w:rPr>
              <w:t>Backup repository OS / appliance licensing</w:t>
            </w:r>
          </w:p>
        </w:tc>
        <w:tc>
          <w:tcPr>
            <w:tcW w:w="1584" w:type="dxa"/>
            <w:shd w:val="clear" w:color="auto" w:fill="F7F9FB"/>
            <w:vAlign w:val="center"/>
          </w:tcPr>
          <w:p w14:paraId="4353AE3B">
            <w:pPr>
              <w:spacing w:after="0" w:line="240" w:lineRule="auto"/>
            </w:pPr>
            <w:r>
              <w:rPr>
                <w:rFonts w:ascii="Aptos" w:hAnsi="Aptos"/>
                <w:b w:val="0"/>
                <w:sz w:val="16"/>
              </w:rPr>
              <w:t>As selected</w:t>
            </w:r>
          </w:p>
        </w:tc>
        <w:tc>
          <w:tcPr>
            <w:tcW w:w="5616" w:type="dxa"/>
            <w:shd w:val="clear" w:color="auto" w:fill="F7F9FB"/>
            <w:vAlign w:val="center"/>
          </w:tcPr>
          <w:p w14:paraId="75556F17">
            <w:pPr>
              <w:spacing w:after="0" w:line="240" w:lineRule="auto"/>
            </w:pPr>
            <w:r>
              <w:rPr>
                <w:rFonts w:ascii="Aptos" w:hAnsi="Aptos"/>
                <w:b w:val="0"/>
                <w:sz w:val="16"/>
              </w:rPr>
              <w:t>Repository platform and support</w:t>
            </w:r>
          </w:p>
        </w:tc>
      </w:tr>
    </w:tbl>
    <w:p w14:paraId="0CCBFE51">
      <w:pPr>
        <w:spacing w:after="20"/>
      </w:pPr>
    </w:p>
    <w:p w14:paraId="7FBE4943">
      <w:r>
        <w:br w:type="page"/>
      </w:r>
    </w:p>
    <w:p w14:paraId="758AB39E">
      <w:pPr>
        <w:pStyle w:val="2"/>
      </w:pPr>
      <w:r>
        <w:t>8. Sizing and Final Design Inputs Required</w:t>
      </w:r>
    </w:p>
    <w:p w14:paraId="3E4EAC23">
      <w:r>
        <w:t>Before issuing the final priced BOM, the following inputs should be obtained from the application/personalization vendor and customer. These values materially affect server, SAN, WAN and backup sizing.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6480"/>
      </w:tblGrid>
      <w:tr w14:paraId="5F40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0B3A63"/>
            <w:vAlign w:val="center"/>
          </w:tcPr>
          <w:p w14:paraId="22CEECBD">
            <w:pPr>
              <w:spacing w:after="0" w:line="240" w:lineRule="auto"/>
            </w:pPr>
            <w:r>
              <w:rPr>
                <w:rFonts w:ascii="Aptos" w:hAnsi="Aptos"/>
                <w:b/>
                <w:color w:val="FFFFFF"/>
                <w:sz w:val="17"/>
              </w:rPr>
              <w:t>Sizing Input</w:t>
            </w:r>
          </w:p>
        </w:tc>
        <w:tc>
          <w:tcPr>
            <w:tcW w:w="6480" w:type="dxa"/>
            <w:shd w:val="clear" w:color="auto" w:fill="0B3A63"/>
            <w:vAlign w:val="center"/>
          </w:tcPr>
          <w:p w14:paraId="3AB72CCC">
            <w:pPr>
              <w:spacing w:after="0" w:line="240" w:lineRule="auto"/>
            </w:pPr>
            <w:r>
              <w:rPr>
                <w:rFonts w:ascii="Aptos" w:hAnsi="Aptos"/>
                <w:b/>
                <w:color w:val="FFFFFF"/>
                <w:sz w:val="17"/>
              </w:rPr>
              <w:t>Why It Is Required</w:t>
            </w:r>
          </w:p>
        </w:tc>
      </w:tr>
      <w:tr w14:paraId="3E043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035830DB">
            <w:pPr>
              <w:spacing w:after="0" w:line="240" w:lineRule="auto"/>
            </w:pPr>
            <w:r>
              <w:rPr>
                <w:rFonts w:ascii="Aptos" w:hAnsi="Aptos"/>
                <w:b w:val="0"/>
                <w:sz w:val="16"/>
              </w:rPr>
              <w:t>Final VM list and OS per VM</w:t>
            </w:r>
          </w:p>
        </w:tc>
        <w:tc>
          <w:tcPr>
            <w:tcW w:w="6480" w:type="dxa"/>
            <w:vAlign w:val="center"/>
          </w:tcPr>
          <w:p w14:paraId="0997EE74">
            <w:pPr>
              <w:spacing w:after="0" w:line="240" w:lineRule="auto"/>
            </w:pPr>
            <w:r>
              <w:rPr>
                <w:rFonts w:ascii="Aptos" w:hAnsi="Aptos"/>
                <w:b w:val="0"/>
                <w:sz w:val="16"/>
              </w:rPr>
              <w:t>Determines compute, licensing and protection scope.</w:t>
            </w:r>
          </w:p>
        </w:tc>
      </w:tr>
      <w:tr w14:paraId="3E8A2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7F9FB"/>
            <w:vAlign w:val="center"/>
          </w:tcPr>
          <w:p w14:paraId="35AE37F8">
            <w:pPr>
              <w:spacing w:after="0" w:line="240" w:lineRule="auto"/>
            </w:pPr>
            <w:r>
              <w:rPr>
                <w:rFonts w:ascii="Aptos" w:hAnsi="Aptos"/>
                <w:b w:val="0"/>
                <w:sz w:val="16"/>
              </w:rPr>
              <w:t>vCPU/RAM requirement per VM</w:t>
            </w:r>
          </w:p>
        </w:tc>
        <w:tc>
          <w:tcPr>
            <w:tcW w:w="6480" w:type="dxa"/>
            <w:shd w:val="clear" w:color="auto" w:fill="F7F9FB"/>
            <w:vAlign w:val="center"/>
          </w:tcPr>
          <w:p w14:paraId="575A4BE4">
            <w:pPr>
              <w:spacing w:after="0" w:line="240" w:lineRule="auto"/>
            </w:pPr>
            <w:r>
              <w:rPr>
                <w:rFonts w:ascii="Aptos" w:hAnsi="Aptos"/>
                <w:b w:val="0"/>
                <w:sz w:val="16"/>
              </w:rPr>
              <w:t>Determines host CPU/RAM and N+1 failover capacity.</w:t>
            </w:r>
          </w:p>
        </w:tc>
      </w:tr>
      <w:tr w14:paraId="12265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359EB465">
            <w:pPr>
              <w:spacing w:after="0" w:line="240" w:lineRule="auto"/>
            </w:pPr>
            <w:r>
              <w:rPr>
                <w:rFonts w:ascii="Aptos" w:hAnsi="Aptos"/>
                <w:b w:val="0"/>
                <w:sz w:val="16"/>
              </w:rPr>
              <w:t>Database engine, edition and size</w:t>
            </w:r>
          </w:p>
        </w:tc>
        <w:tc>
          <w:tcPr>
            <w:tcW w:w="6480" w:type="dxa"/>
            <w:vAlign w:val="center"/>
          </w:tcPr>
          <w:p w14:paraId="4FB7BF13">
            <w:pPr>
              <w:spacing w:after="0" w:line="240" w:lineRule="auto"/>
            </w:pPr>
            <w:r>
              <w:rPr>
                <w:rFonts w:ascii="Aptos" w:hAnsi="Aptos"/>
                <w:b w:val="0"/>
                <w:sz w:val="16"/>
              </w:rPr>
              <w:t>Determines DB licensing, HA design and storage performance.</w:t>
            </w:r>
          </w:p>
        </w:tc>
      </w:tr>
      <w:tr w14:paraId="65A8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7F9FB"/>
            <w:vAlign w:val="center"/>
          </w:tcPr>
          <w:p w14:paraId="26E65781">
            <w:pPr>
              <w:spacing w:after="0" w:line="240" w:lineRule="auto"/>
            </w:pPr>
            <w:r>
              <w:rPr>
                <w:rFonts w:ascii="Aptos" w:hAnsi="Aptos"/>
                <w:b w:val="0"/>
                <w:sz w:val="16"/>
              </w:rPr>
              <w:t>Database IOPS / latency requirement</w:t>
            </w:r>
          </w:p>
        </w:tc>
        <w:tc>
          <w:tcPr>
            <w:tcW w:w="6480" w:type="dxa"/>
            <w:shd w:val="clear" w:color="auto" w:fill="F7F9FB"/>
            <w:vAlign w:val="center"/>
          </w:tcPr>
          <w:p w14:paraId="67FAC285">
            <w:pPr>
              <w:spacing w:after="0" w:line="240" w:lineRule="auto"/>
            </w:pPr>
            <w:r>
              <w:rPr>
                <w:rFonts w:ascii="Aptos" w:hAnsi="Aptos"/>
                <w:b w:val="0"/>
                <w:sz w:val="16"/>
              </w:rPr>
              <w:t>Determines SAN media, RAID and controller sizing.</w:t>
            </w:r>
          </w:p>
        </w:tc>
      </w:tr>
      <w:tr w14:paraId="01F9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6C99FC7E">
            <w:pPr>
              <w:spacing w:after="0" w:line="240" w:lineRule="auto"/>
            </w:pPr>
            <w:r>
              <w:rPr>
                <w:rFonts w:ascii="Aptos" w:hAnsi="Aptos"/>
                <w:b w:val="0"/>
                <w:sz w:val="16"/>
              </w:rPr>
              <w:t>Current data volume and 3–5 year growth</w:t>
            </w:r>
          </w:p>
        </w:tc>
        <w:tc>
          <w:tcPr>
            <w:tcW w:w="6480" w:type="dxa"/>
            <w:vAlign w:val="center"/>
          </w:tcPr>
          <w:p w14:paraId="1C65B232">
            <w:pPr>
              <w:spacing w:after="0" w:line="240" w:lineRule="auto"/>
            </w:pPr>
            <w:r>
              <w:rPr>
                <w:rFonts w:ascii="Aptos" w:hAnsi="Aptos"/>
                <w:b w:val="0"/>
                <w:sz w:val="16"/>
              </w:rPr>
              <w:t>Determines production and backup capacity.</w:t>
            </w:r>
          </w:p>
        </w:tc>
      </w:tr>
      <w:tr w14:paraId="5AD8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7F9FB"/>
            <w:vAlign w:val="center"/>
          </w:tcPr>
          <w:p w14:paraId="4686ED3E">
            <w:pPr>
              <w:spacing w:after="0" w:line="240" w:lineRule="auto"/>
            </w:pPr>
            <w:r>
              <w:rPr>
                <w:rFonts w:ascii="Aptos" w:hAnsi="Aptos"/>
                <w:b w:val="0"/>
                <w:sz w:val="16"/>
              </w:rPr>
              <w:t>Daily data-change rate</w:t>
            </w:r>
          </w:p>
        </w:tc>
        <w:tc>
          <w:tcPr>
            <w:tcW w:w="6480" w:type="dxa"/>
            <w:shd w:val="clear" w:color="auto" w:fill="F7F9FB"/>
            <w:vAlign w:val="center"/>
          </w:tcPr>
          <w:p w14:paraId="0657B52E">
            <w:pPr>
              <w:spacing w:after="0" w:line="240" w:lineRule="auto"/>
            </w:pPr>
            <w:r>
              <w:rPr>
                <w:rFonts w:ascii="Aptos" w:hAnsi="Aptos"/>
                <w:b w:val="0"/>
                <w:sz w:val="16"/>
              </w:rPr>
              <w:t>Determines backup window, repository capacity and WAN replication bandwidth.</w:t>
            </w:r>
          </w:p>
        </w:tc>
      </w:tr>
      <w:tr w14:paraId="71577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4396ABE7">
            <w:pPr>
              <w:spacing w:after="0" w:line="240" w:lineRule="auto"/>
            </w:pPr>
            <w:r>
              <w:rPr>
                <w:rFonts w:ascii="Aptos" w:hAnsi="Aptos"/>
                <w:b w:val="0"/>
                <w:sz w:val="16"/>
              </w:rPr>
              <w:t>Required RPO per application</w:t>
            </w:r>
          </w:p>
        </w:tc>
        <w:tc>
          <w:tcPr>
            <w:tcW w:w="6480" w:type="dxa"/>
            <w:vAlign w:val="center"/>
          </w:tcPr>
          <w:p w14:paraId="2195DF40">
            <w:pPr>
              <w:spacing w:after="0" w:line="240" w:lineRule="auto"/>
            </w:pPr>
            <w:r>
              <w:rPr>
                <w:rFonts w:ascii="Aptos" w:hAnsi="Aptos"/>
                <w:b w:val="0"/>
                <w:sz w:val="16"/>
              </w:rPr>
              <w:t>Determines replication frequency and technology.</w:t>
            </w:r>
          </w:p>
        </w:tc>
      </w:tr>
      <w:tr w14:paraId="538F4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7F9FB"/>
            <w:vAlign w:val="center"/>
          </w:tcPr>
          <w:p w14:paraId="50D4E6BD">
            <w:pPr>
              <w:spacing w:after="0" w:line="240" w:lineRule="auto"/>
            </w:pPr>
            <w:r>
              <w:rPr>
                <w:rFonts w:ascii="Aptos" w:hAnsi="Aptos"/>
                <w:b w:val="0"/>
                <w:sz w:val="16"/>
              </w:rPr>
              <w:t>Required RTO per service</w:t>
            </w:r>
          </w:p>
        </w:tc>
        <w:tc>
          <w:tcPr>
            <w:tcW w:w="6480" w:type="dxa"/>
            <w:shd w:val="clear" w:color="auto" w:fill="F7F9FB"/>
            <w:vAlign w:val="center"/>
          </w:tcPr>
          <w:p w14:paraId="4774652B">
            <w:pPr>
              <w:spacing w:after="0" w:line="240" w:lineRule="auto"/>
            </w:pPr>
            <w:r>
              <w:rPr>
                <w:rFonts w:ascii="Aptos" w:hAnsi="Aptos"/>
                <w:b w:val="0"/>
                <w:sz w:val="16"/>
              </w:rPr>
              <w:t>Determines DR capacity and recovery automation.</w:t>
            </w:r>
          </w:p>
        </w:tc>
      </w:tr>
      <w:tr w14:paraId="22533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2D9FD1EE">
            <w:pPr>
              <w:spacing w:after="0" w:line="240" w:lineRule="auto"/>
            </w:pPr>
            <w:r>
              <w:rPr>
                <w:rFonts w:ascii="Aptos" w:hAnsi="Aptos"/>
                <w:b w:val="0"/>
                <w:sz w:val="16"/>
              </w:rPr>
              <w:t>Backup retention policy</w:t>
            </w:r>
          </w:p>
        </w:tc>
        <w:tc>
          <w:tcPr>
            <w:tcW w:w="6480" w:type="dxa"/>
            <w:vAlign w:val="center"/>
          </w:tcPr>
          <w:p w14:paraId="3538712C">
            <w:pPr>
              <w:spacing w:after="0" w:line="240" w:lineRule="auto"/>
            </w:pPr>
            <w:r>
              <w:rPr>
                <w:rFonts w:ascii="Aptos" w:hAnsi="Aptos"/>
                <w:b w:val="0"/>
                <w:sz w:val="16"/>
              </w:rPr>
              <w:t>Determines repository capacity and archive tier.</w:t>
            </w:r>
          </w:p>
        </w:tc>
      </w:tr>
      <w:tr w14:paraId="2308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7F9FB"/>
            <w:vAlign w:val="center"/>
          </w:tcPr>
          <w:p w14:paraId="5E99321C">
            <w:pPr>
              <w:spacing w:after="0" w:line="240" w:lineRule="auto"/>
            </w:pPr>
            <w:r>
              <w:rPr>
                <w:rFonts w:ascii="Aptos" w:hAnsi="Aptos"/>
                <w:b w:val="0"/>
                <w:sz w:val="16"/>
              </w:rPr>
              <w:t>WAN bandwidth/latency between sites</w:t>
            </w:r>
          </w:p>
        </w:tc>
        <w:tc>
          <w:tcPr>
            <w:tcW w:w="6480" w:type="dxa"/>
            <w:shd w:val="clear" w:color="auto" w:fill="F7F9FB"/>
            <w:vAlign w:val="center"/>
          </w:tcPr>
          <w:p w14:paraId="2103153C">
            <w:pPr>
              <w:spacing w:after="0" w:line="240" w:lineRule="auto"/>
            </w:pPr>
            <w:r>
              <w:rPr>
                <w:rFonts w:ascii="Aptos" w:hAnsi="Aptos"/>
                <w:b w:val="0"/>
                <w:sz w:val="16"/>
              </w:rPr>
              <w:t>Determines feasibility of ≤5 minute replication.</w:t>
            </w:r>
          </w:p>
        </w:tc>
      </w:tr>
      <w:tr w14:paraId="6D487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2AF4F4C5">
            <w:pPr>
              <w:spacing w:after="0" w:line="240" w:lineRule="auto"/>
            </w:pPr>
            <w:r>
              <w:rPr>
                <w:rFonts w:ascii="Aptos" w:hAnsi="Aptos"/>
                <w:b w:val="0"/>
                <w:sz w:val="16"/>
              </w:rPr>
              <w:t>Number of users/operators/endpoints</w:t>
            </w:r>
          </w:p>
        </w:tc>
        <w:tc>
          <w:tcPr>
            <w:tcW w:w="6480" w:type="dxa"/>
            <w:vAlign w:val="center"/>
          </w:tcPr>
          <w:p w14:paraId="7CCB3C31">
            <w:pPr>
              <w:spacing w:after="0" w:line="240" w:lineRule="auto"/>
            </w:pPr>
            <w:r>
              <w:rPr>
                <w:rFonts w:ascii="Aptos" w:hAnsi="Aptos"/>
                <w:b w:val="0"/>
                <w:sz w:val="16"/>
              </w:rPr>
              <w:t>Determines access switching, CALs and user network sizing.</w:t>
            </w:r>
          </w:p>
        </w:tc>
      </w:tr>
      <w:tr w14:paraId="26669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7F9FB"/>
            <w:vAlign w:val="center"/>
          </w:tcPr>
          <w:p w14:paraId="16C3A7B0">
            <w:pPr>
              <w:spacing w:after="0" w:line="240" w:lineRule="auto"/>
            </w:pPr>
            <w:r>
              <w:rPr>
                <w:rFonts w:ascii="Aptos" w:hAnsi="Aptos"/>
                <w:b w:val="0"/>
                <w:sz w:val="16"/>
              </w:rPr>
              <w:t>Application clustering support</w:t>
            </w:r>
          </w:p>
        </w:tc>
        <w:tc>
          <w:tcPr>
            <w:tcW w:w="6480" w:type="dxa"/>
            <w:shd w:val="clear" w:color="auto" w:fill="F7F9FB"/>
            <w:vAlign w:val="center"/>
          </w:tcPr>
          <w:p w14:paraId="5C6C4E57">
            <w:pPr>
              <w:spacing w:after="0" w:line="240" w:lineRule="auto"/>
            </w:pPr>
            <w:r>
              <w:rPr>
                <w:rFonts w:ascii="Aptos" w:hAnsi="Aptos"/>
                <w:b w:val="0"/>
                <w:sz w:val="16"/>
              </w:rPr>
              <w:t>Determines whether HA is VM-level, application-level, DB-level or combined.</w:t>
            </w:r>
          </w:p>
        </w:tc>
      </w:tr>
    </w:tbl>
    <w:p w14:paraId="467112BF">
      <w:pPr>
        <w:spacing w:after="20"/>
      </w:pPr>
    </w:p>
    <w:p w14:paraId="6ECCEFB3">
      <w:pPr>
        <w:pStyle w:val="3"/>
      </w:pPr>
      <w:r>
        <w:t>8.1 N+1 Compute Rule</w:t>
      </w:r>
    </w:p>
    <w:p w14:paraId="480303EA">
      <w:r>
        <w:t>The two-node production cluster should be sized so that either node can run all Tier-1 workloads and the required subset of Tier-2 workloads during a node outage. Normal operation should therefore avoid sustained utilization levels that leave no failover headroom.</w:t>
      </w:r>
    </w:p>
    <w:p w14:paraId="3BD07A33">
      <w:pPr>
        <w:pStyle w:val="2"/>
        <w:pageBreakBefore/>
      </w:pPr>
      <w:r>
        <w:t>9. Implementation Approach</w:t>
      </w:r>
    </w:p>
    <w:p w14:paraId="111EC6C8">
      <w:pPr>
        <w:pStyle w:val="29"/>
        <w:spacing w:after="40"/>
      </w:pPr>
      <w:r>
        <w:t>Confirm requirements, VM inventory, dependencies, RPO/RTO and capacity growth.</w:t>
      </w:r>
    </w:p>
    <w:p w14:paraId="05BAA8D7">
      <w:pPr>
        <w:pStyle w:val="29"/>
        <w:spacing w:after="40"/>
      </w:pPr>
      <w:r>
        <w:t>Finalize low-level design, IP plan, VLAN plan, firewall matrix, rack elevations and cable schedule.</w:t>
      </w:r>
    </w:p>
    <w:p w14:paraId="18762307">
      <w:pPr>
        <w:pStyle w:val="29"/>
        <w:spacing w:after="40"/>
      </w:pPr>
      <w:r>
        <w:t>Install racks, redundant power, switches, firewalls, servers and storage.</w:t>
      </w:r>
    </w:p>
    <w:p w14:paraId="5CFB6A11">
      <w:pPr>
        <w:pStyle w:val="29"/>
        <w:spacing w:after="40"/>
      </w:pPr>
      <w:r>
        <w:t>Configure SAN pools/LUNs, MPIO and isolated storage networks.</w:t>
      </w:r>
    </w:p>
    <w:p w14:paraId="6A13BB0B">
      <w:pPr>
        <w:pStyle w:val="29"/>
        <w:spacing w:after="40"/>
      </w:pPr>
      <w:r>
        <w:t>Install Windows Server, Hyper-V and WSFC; run full cluster validation.</w:t>
      </w:r>
    </w:p>
    <w:p w14:paraId="6DBB65B4">
      <w:pPr>
        <w:pStyle w:val="29"/>
        <w:spacing w:after="40"/>
      </w:pPr>
      <w:r>
        <w:t>Deploy workloads and validate application/database HA behavior.</w:t>
      </w:r>
    </w:p>
    <w:p w14:paraId="3A395C65">
      <w:pPr>
        <w:pStyle w:val="29"/>
        <w:spacing w:after="40"/>
      </w:pPr>
      <w:r>
        <w:t>Build DR cluster and establish secure inter-site connectivity.</w:t>
      </w:r>
    </w:p>
    <w:p w14:paraId="4EAACA2C">
      <w:pPr>
        <w:pStyle w:val="29"/>
        <w:spacing w:after="40"/>
      </w:pPr>
      <w:r>
        <w:t>Deploy Veeam backup infrastructure, immutable repository and DR backup copy/replication.</w:t>
      </w:r>
    </w:p>
    <w:p w14:paraId="7AB3902A">
      <w:pPr>
        <w:pStyle w:val="29"/>
        <w:spacing w:after="40"/>
      </w:pPr>
      <w:r>
        <w:t>Execute backup/restore, node-failure, path-failure, switch-failure and DR tests.</w:t>
      </w:r>
    </w:p>
    <w:p w14:paraId="0F89A6E1">
      <w:pPr>
        <w:pStyle w:val="29"/>
        <w:spacing w:after="40"/>
      </w:pPr>
      <w:r>
        <w:t>Complete documentation, training, handover and acceptance.</w:t>
      </w:r>
    </w:p>
    <w:p w14:paraId="13A7613B">
      <w:pPr>
        <w:pStyle w:val="3"/>
      </w:pPr>
      <w:r>
        <w:t>9.1 Acceptance Tests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912"/>
      </w:tblGrid>
      <w:tr w14:paraId="308E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0B3A63"/>
            <w:vAlign w:val="center"/>
          </w:tcPr>
          <w:p w14:paraId="3362670E">
            <w:pPr>
              <w:spacing w:after="0" w:line="240" w:lineRule="auto"/>
            </w:pPr>
            <w:r>
              <w:rPr>
                <w:rFonts w:ascii="Aptos" w:hAnsi="Aptos"/>
                <w:b/>
                <w:color w:val="FFFFFF"/>
                <w:sz w:val="17"/>
              </w:rPr>
              <w:t>Test</w:t>
            </w:r>
          </w:p>
        </w:tc>
        <w:tc>
          <w:tcPr>
            <w:tcW w:w="6912" w:type="dxa"/>
            <w:shd w:val="clear" w:color="auto" w:fill="0B3A63"/>
            <w:vAlign w:val="center"/>
          </w:tcPr>
          <w:p w14:paraId="3E813F74">
            <w:pPr>
              <w:spacing w:after="0" w:line="240" w:lineRule="auto"/>
            </w:pPr>
            <w:r>
              <w:rPr>
                <w:rFonts w:ascii="Aptos" w:hAnsi="Aptos"/>
                <w:b/>
                <w:color w:val="FFFFFF"/>
                <w:sz w:val="17"/>
              </w:rPr>
              <w:t>Acceptance Objective</w:t>
            </w:r>
          </w:p>
        </w:tc>
      </w:tr>
      <w:tr w14:paraId="07EB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71C6C6E">
            <w:pPr>
              <w:spacing w:after="0" w:line="240" w:lineRule="auto"/>
            </w:pPr>
            <w:r>
              <w:rPr>
                <w:rFonts w:ascii="Aptos" w:hAnsi="Aptos"/>
                <w:b w:val="0"/>
                <w:sz w:val="16"/>
              </w:rPr>
              <w:t>Cluster node failure</w:t>
            </w:r>
          </w:p>
        </w:tc>
        <w:tc>
          <w:tcPr>
            <w:tcW w:w="6912" w:type="dxa"/>
            <w:vAlign w:val="center"/>
          </w:tcPr>
          <w:p w14:paraId="70EB5D77">
            <w:pPr>
              <w:spacing w:after="0" w:line="240" w:lineRule="auto"/>
            </w:pPr>
            <w:r>
              <w:rPr>
                <w:rFonts w:ascii="Aptos" w:hAnsi="Aptos"/>
                <w:b w:val="0"/>
                <w:sz w:val="16"/>
              </w:rPr>
              <w:t>Critical VMs restart successfully on surviving node.</w:t>
            </w:r>
          </w:p>
        </w:tc>
      </w:tr>
      <w:tr w14:paraId="7846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79D2EB2D">
            <w:pPr>
              <w:spacing w:after="0" w:line="240" w:lineRule="auto"/>
            </w:pPr>
            <w:r>
              <w:rPr>
                <w:rFonts w:ascii="Aptos" w:hAnsi="Aptos"/>
                <w:b w:val="0"/>
                <w:sz w:val="16"/>
              </w:rPr>
              <w:t>Live migration</w:t>
            </w:r>
          </w:p>
        </w:tc>
        <w:tc>
          <w:tcPr>
            <w:tcW w:w="6912" w:type="dxa"/>
            <w:shd w:val="clear" w:color="auto" w:fill="F7F9FB"/>
            <w:vAlign w:val="center"/>
          </w:tcPr>
          <w:p w14:paraId="44650A56">
            <w:pPr>
              <w:spacing w:after="0" w:line="240" w:lineRule="auto"/>
            </w:pPr>
            <w:r>
              <w:rPr>
                <w:rFonts w:ascii="Aptos" w:hAnsi="Aptos"/>
                <w:b w:val="0"/>
                <w:sz w:val="16"/>
              </w:rPr>
              <w:t>VMs move between nodes without unacceptable service impact.</w:t>
            </w:r>
          </w:p>
        </w:tc>
      </w:tr>
      <w:tr w14:paraId="5C95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5409733">
            <w:pPr>
              <w:spacing w:after="0" w:line="240" w:lineRule="auto"/>
            </w:pPr>
            <w:r>
              <w:rPr>
                <w:rFonts w:ascii="Aptos" w:hAnsi="Aptos"/>
                <w:b w:val="0"/>
                <w:sz w:val="16"/>
              </w:rPr>
              <w:t>Core link/switch failure</w:t>
            </w:r>
          </w:p>
        </w:tc>
        <w:tc>
          <w:tcPr>
            <w:tcW w:w="6912" w:type="dxa"/>
            <w:vAlign w:val="center"/>
          </w:tcPr>
          <w:p w14:paraId="29727D6E">
            <w:pPr>
              <w:spacing w:after="0" w:line="240" w:lineRule="auto"/>
            </w:pPr>
            <w:r>
              <w:rPr>
                <w:rFonts w:ascii="Aptos" w:hAnsi="Aptos"/>
                <w:b w:val="0"/>
                <w:sz w:val="16"/>
              </w:rPr>
              <w:t>Connectivity remains available through redundant path.</w:t>
            </w:r>
          </w:p>
        </w:tc>
      </w:tr>
      <w:tr w14:paraId="45FB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0B19F4CD">
            <w:pPr>
              <w:spacing w:after="0" w:line="240" w:lineRule="auto"/>
            </w:pPr>
            <w:r>
              <w:rPr>
                <w:rFonts w:ascii="Aptos" w:hAnsi="Aptos"/>
                <w:b w:val="0"/>
                <w:sz w:val="16"/>
              </w:rPr>
              <w:t>SAN path/controller failure</w:t>
            </w:r>
          </w:p>
        </w:tc>
        <w:tc>
          <w:tcPr>
            <w:tcW w:w="6912" w:type="dxa"/>
            <w:shd w:val="clear" w:color="auto" w:fill="F7F9FB"/>
            <w:vAlign w:val="center"/>
          </w:tcPr>
          <w:p w14:paraId="1CC95AF1">
            <w:pPr>
              <w:spacing w:after="0" w:line="240" w:lineRule="auto"/>
            </w:pPr>
            <w:r>
              <w:rPr>
                <w:rFonts w:ascii="Aptos" w:hAnsi="Aptos"/>
                <w:b w:val="0"/>
                <w:sz w:val="16"/>
              </w:rPr>
              <w:t>CSV/LUN remains available through MPIO.</w:t>
            </w:r>
          </w:p>
        </w:tc>
      </w:tr>
      <w:tr w14:paraId="2308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CF47266">
            <w:pPr>
              <w:spacing w:after="0" w:line="240" w:lineRule="auto"/>
            </w:pPr>
            <w:r>
              <w:rPr>
                <w:rFonts w:ascii="Aptos" w:hAnsi="Aptos"/>
                <w:b w:val="0"/>
                <w:sz w:val="16"/>
              </w:rPr>
              <w:t>Backup job</w:t>
            </w:r>
          </w:p>
        </w:tc>
        <w:tc>
          <w:tcPr>
            <w:tcW w:w="6912" w:type="dxa"/>
            <w:vAlign w:val="center"/>
          </w:tcPr>
          <w:p w14:paraId="07432EEA">
            <w:pPr>
              <w:spacing w:after="0" w:line="240" w:lineRule="auto"/>
            </w:pPr>
            <w:r>
              <w:rPr>
                <w:rFonts w:ascii="Aptos" w:hAnsi="Aptos"/>
                <w:b w:val="0"/>
                <w:sz w:val="16"/>
              </w:rPr>
              <w:t>Scheduled backup completes and is monitored.</w:t>
            </w:r>
          </w:p>
        </w:tc>
      </w:tr>
      <w:tr w14:paraId="301FE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3B5CBE91">
            <w:pPr>
              <w:spacing w:after="0" w:line="240" w:lineRule="auto"/>
            </w:pPr>
            <w:r>
              <w:rPr>
                <w:rFonts w:ascii="Aptos" w:hAnsi="Aptos"/>
                <w:b w:val="0"/>
                <w:sz w:val="16"/>
              </w:rPr>
              <w:t>Immutable backup test</w:t>
            </w:r>
          </w:p>
        </w:tc>
        <w:tc>
          <w:tcPr>
            <w:tcW w:w="6912" w:type="dxa"/>
            <w:shd w:val="clear" w:color="auto" w:fill="F7F9FB"/>
            <w:vAlign w:val="center"/>
          </w:tcPr>
          <w:p w14:paraId="7315AE96">
            <w:pPr>
              <w:spacing w:after="0" w:line="240" w:lineRule="auto"/>
            </w:pPr>
            <w:r>
              <w:rPr>
                <w:rFonts w:ascii="Aptos" w:hAnsi="Aptos"/>
                <w:b w:val="0"/>
                <w:sz w:val="16"/>
              </w:rPr>
              <w:t>Protected restore point cannot be prematurely deleted using normal administrative workflow.</w:t>
            </w:r>
          </w:p>
        </w:tc>
      </w:tr>
      <w:tr w14:paraId="679A9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8F21B98">
            <w:pPr>
              <w:spacing w:after="0" w:line="240" w:lineRule="auto"/>
            </w:pPr>
            <w:r>
              <w:rPr>
                <w:rFonts w:ascii="Aptos" w:hAnsi="Aptos"/>
                <w:b w:val="0"/>
                <w:sz w:val="16"/>
              </w:rPr>
              <w:t>VM restore</w:t>
            </w:r>
          </w:p>
        </w:tc>
        <w:tc>
          <w:tcPr>
            <w:tcW w:w="6912" w:type="dxa"/>
            <w:vAlign w:val="center"/>
          </w:tcPr>
          <w:p w14:paraId="42307E35">
            <w:pPr>
              <w:spacing w:after="0" w:line="240" w:lineRule="auto"/>
            </w:pPr>
            <w:r>
              <w:rPr>
                <w:rFonts w:ascii="Aptos" w:hAnsi="Aptos"/>
                <w:b w:val="0"/>
                <w:sz w:val="16"/>
              </w:rPr>
              <w:t>Full VM restore / recovery is demonstrated.</w:t>
            </w:r>
          </w:p>
        </w:tc>
      </w:tr>
      <w:tr w14:paraId="4E7FD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2812BB0F">
            <w:pPr>
              <w:spacing w:after="0" w:line="240" w:lineRule="auto"/>
            </w:pPr>
            <w:r>
              <w:rPr>
                <w:rFonts w:ascii="Aptos" w:hAnsi="Aptos"/>
                <w:b w:val="0"/>
                <w:sz w:val="16"/>
              </w:rPr>
              <w:t>File/application restore</w:t>
            </w:r>
          </w:p>
        </w:tc>
        <w:tc>
          <w:tcPr>
            <w:tcW w:w="6912" w:type="dxa"/>
            <w:shd w:val="clear" w:color="auto" w:fill="F7F9FB"/>
            <w:vAlign w:val="center"/>
          </w:tcPr>
          <w:p w14:paraId="4F0DA052">
            <w:pPr>
              <w:spacing w:after="0" w:line="240" w:lineRule="auto"/>
            </w:pPr>
            <w:r>
              <w:rPr>
                <w:rFonts w:ascii="Aptos" w:hAnsi="Aptos"/>
                <w:b w:val="0"/>
                <w:sz w:val="16"/>
              </w:rPr>
              <w:t>Granular restore is demonstrated for supported workloads.</w:t>
            </w:r>
          </w:p>
        </w:tc>
      </w:tr>
      <w:tr w14:paraId="3EB62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E1F0F19">
            <w:pPr>
              <w:spacing w:after="0" w:line="240" w:lineRule="auto"/>
            </w:pPr>
            <w:r>
              <w:rPr>
                <w:rFonts w:ascii="Aptos" w:hAnsi="Aptos"/>
                <w:b w:val="0"/>
                <w:sz w:val="16"/>
              </w:rPr>
              <w:t>DR replication</w:t>
            </w:r>
          </w:p>
        </w:tc>
        <w:tc>
          <w:tcPr>
            <w:tcW w:w="6912" w:type="dxa"/>
            <w:vAlign w:val="center"/>
          </w:tcPr>
          <w:p w14:paraId="0C3E38E3">
            <w:pPr>
              <w:spacing w:after="0" w:line="240" w:lineRule="auto"/>
            </w:pPr>
            <w:r>
              <w:rPr>
                <w:rFonts w:ascii="Aptos" w:hAnsi="Aptos"/>
                <w:b w:val="0"/>
                <w:sz w:val="16"/>
              </w:rPr>
              <w:t>Critical VM replicas meet approved RPO.</w:t>
            </w:r>
          </w:p>
        </w:tc>
      </w:tr>
      <w:tr w14:paraId="2BCE1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69B7C421">
            <w:pPr>
              <w:spacing w:after="0" w:line="240" w:lineRule="auto"/>
            </w:pPr>
            <w:r>
              <w:rPr>
                <w:rFonts w:ascii="Aptos" w:hAnsi="Aptos"/>
                <w:b w:val="0"/>
                <w:sz w:val="16"/>
              </w:rPr>
              <w:t>DR failover drill</w:t>
            </w:r>
          </w:p>
        </w:tc>
        <w:tc>
          <w:tcPr>
            <w:tcW w:w="6912" w:type="dxa"/>
            <w:shd w:val="clear" w:color="auto" w:fill="F7F9FB"/>
            <w:vAlign w:val="center"/>
          </w:tcPr>
          <w:p w14:paraId="0B6095C0">
            <w:pPr>
              <w:spacing w:after="0" w:line="240" w:lineRule="auto"/>
            </w:pPr>
            <w:r>
              <w:rPr>
                <w:rFonts w:ascii="Aptos" w:hAnsi="Aptos"/>
                <w:b w:val="0"/>
                <w:sz w:val="16"/>
              </w:rPr>
              <w:t>Services recover in documented dependency order and achieved RTO/RPO are recorded.</w:t>
            </w:r>
          </w:p>
        </w:tc>
      </w:tr>
    </w:tbl>
    <w:p w14:paraId="1A4EC210">
      <w:pPr>
        <w:spacing w:after="20"/>
      </w:pPr>
    </w:p>
    <w:p w14:paraId="75800570">
      <w:r>
        <w:br w:type="page"/>
      </w:r>
    </w:p>
    <w:p w14:paraId="10C96CE5">
      <w:pPr>
        <w:pStyle w:val="2"/>
      </w:pPr>
      <w:r>
        <w:t>10. Design Assumptions, Risks and Recommendations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7488"/>
      </w:tblGrid>
      <w:tr w14:paraId="25E38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B3A63"/>
            <w:vAlign w:val="center"/>
          </w:tcPr>
          <w:p w14:paraId="1DE62E1A">
            <w:pPr>
              <w:spacing w:after="0" w:line="240" w:lineRule="auto"/>
            </w:pPr>
            <w:r>
              <w:rPr>
                <w:rFonts w:ascii="Aptos" w:hAnsi="Aptos"/>
                <w:b/>
                <w:color w:val="FFFFFF"/>
                <w:sz w:val="17"/>
              </w:rPr>
              <w:t>Area</w:t>
            </w:r>
          </w:p>
        </w:tc>
        <w:tc>
          <w:tcPr>
            <w:tcW w:w="7488" w:type="dxa"/>
            <w:shd w:val="clear" w:color="auto" w:fill="0B3A63"/>
            <w:vAlign w:val="center"/>
          </w:tcPr>
          <w:p w14:paraId="369ED493">
            <w:pPr>
              <w:spacing w:after="0" w:line="240" w:lineRule="auto"/>
            </w:pPr>
            <w:r>
              <w:rPr>
                <w:rFonts w:ascii="Aptos" w:hAnsi="Aptos"/>
                <w:b/>
                <w:color w:val="FFFFFF"/>
                <w:sz w:val="17"/>
              </w:rPr>
              <w:t>Recommendation / Risk</w:t>
            </w:r>
          </w:p>
        </w:tc>
      </w:tr>
      <w:tr w14:paraId="38539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vAlign w:val="center"/>
          </w:tcPr>
          <w:p w14:paraId="239D4FF5">
            <w:pPr>
              <w:spacing w:after="0" w:line="240" w:lineRule="auto"/>
            </w:pPr>
            <w:r>
              <w:rPr>
                <w:rFonts w:ascii="Aptos" w:hAnsi="Aptos"/>
                <w:b w:val="0"/>
                <w:sz w:val="16"/>
              </w:rPr>
              <w:t>Single core switch</w:t>
            </w:r>
          </w:p>
        </w:tc>
        <w:tc>
          <w:tcPr>
            <w:tcW w:w="7488" w:type="dxa"/>
            <w:vAlign w:val="center"/>
          </w:tcPr>
          <w:p w14:paraId="2884EF03">
            <w:pPr>
              <w:spacing w:after="0" w:line="240" w:lineRule="auto"/>
            </w:pPr>
            <w:r>
              <w:rPr>
                <w:rFonts w:ascii="Aptos" w:hAnsi="Aptos"/>
                <w:b w:val="0"/>
                <w:sz w:val="16"/>
              </w:rPr>
              <w:t>Do not use one core switch for a mission-critical solution; use two.</w:t>
            </w:r>
          </w:p>
        </w:tc>
      </w:tr>
      <w:tr w14:paraId="33D1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7F9FB"/>
            <w:vAlign w:val="center"/>
          </w:tcPr>
          <w:p w14:paraId="6D2BB229">
            <w:pPr>
              <w:spacing w:after="0" w:line="240" w:lineRule="auto"/>
            </w:pPr>
            <w:r>
              <w:rPr>
                <w:rFonts w:ascii="Aptos" w:hAnsi="Aptos"/>
                <w:b w:val="0"/>
                <w:sz w:val="16"/>
              </w:rPr>
              <w:t>Two-node cluster capacity</w:t>
            </w:r>
          </w:p>
        </w:tc>
        <w:tc>
          <w:tcPr>
            <w:tcW w:w="7488" w:type="dxa"/>
            <w:shd w:val="clear" w:color="auto" w:fill="F7F9FB"/>
            <w:vAlign w:val="center"/>
          </w:tcPr>
          <w:p w14:paraId="221774C2">
            <w:pPr>
              <w:spacing w:after="0" w:line="240" w:lineRule="auto"/>
            </w:pPr>
            <w:r>
              <w:rPr>
                <w:rFonts w:ascii="Aptos" w:hAnsi="Aptos"/>
                <w:b w:val="0"/>
                <w:sz w:val="16"/>
              </w:rPr>
              <w:t>Each node must retain sufficient capacity for failover; otherwise HA exists logically but not operationally.</w:t>
            </w:r>
          </w:p>
        </w:tc>
      </w:tr>
      <w:tr w14:paraId="28AD2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649B868">
            <w:pPr>
              <w:spacing w:after="0" w:line="240" w:lineRule="auto"/>
            </w:pPr>
            <w:r>
              <w:rPr>
                <w:rFonts w:ascii="Aptos" w:hAnsi="Aptos"/>
                <w:b w:val="0"/>
                <w:sz w:val="16"/>
              </w:rPr>
              <w:t>Shared SAN</w:t>
            </w:r>
          </w:p>
        </w:tc>
        <w:tc>
          <w:tcPr>
            <w:tcW w:w="7488" w:type="dxa"/>
            <w:vAlign w:val="center"/>
          </w:tcPr>
          <w:p w14:paraId="09E1B39C">
            <w:pPr>
              <w:spacing w:after="0" w:line="240" w:lineRule="auto"/>
            </w:pPr>
            <w:r>
              <w:rPr>
                <w:rFonts w:ascii="Aptos" w:hAnsi="Aptos"/>
                <w:b w:val="0"/>
                <w:sz w:val="16"/>
              </w:rPr>
              <w:t>Dual-controller SAN is locally resilient but remains a site-level dependency; DR replication is still required.</w:t>
            </w:r>
          </w:p>
        </w:tc>
      </w:tr>
      <w:tr w14:paraId="775C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7F9FB"/>
            <w:vAlign w:val="center"/>
          </w:tcPr>
          <w:p w14:paraId="741DBC10">
            <w:pPr>
              <w:spacing w:after="0" w:line="240" w:lineRule="auto"/>
            </w:pPr>
            <w:r>
              <w:rPr>
                <w:rFonts w:ascii="Aptos" w:hAnsi="Aptos"/>
                <w:b w:val="0"/>
                <w:sz w:val="16"/>
              </w:rPr>
              <w:t>Backups on production storage</w:t>
            </w:r>
          </w:p>
        </w:tc>
        <w:tc>
          <w:tcPr>
            <w:tcW w:w="7488" w:type="dxa"/>
            <w:shd w:val="clear" w:color="auto" w:fill="F7F9FB"/>
            <w:vAlign w:val="center"/>
          </w:tcPr>
          <w:p w14:paraId="6982CCC9">
            <w:pPr>
              <w:spacing w:after="0" w:line="240" w:lineRule="auto"/>
            </w:pPr>
            <w:r>
              <w:rPr>
                <w:rFonts w:ascii="Aptos" w:hAnsi="Aptos"/>
                <w:b w:val="0"/>
                <w:sz w:val="16"/>
              </w:rPr>
              <w:t>Not acceptable as the only backup copy. Use independent and immutable storage.</w:t>
            </w:r>
          </w:p>
        </w:tc>
      </w:tr>
      <w:tr w14:paraId="0344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C267A7D">
            <w:pPr>
              <w:spacing w:after="0" w:line="240" w:lineRule="auto"/>
            </w:pPr>
            <w:r>
              <w:rPr>
                <w:rFonts w:ascii="Aptos" w:hAnsi="Aptos"/>
                <w:b w:val="0"/>
                <w:sz w:val="16"/>
              </w:rPr>
              <w:t>DR bandwidth</w:t>
            </w:r>
          </w:p>
        </w:tc>
        <w:tc>
          <w:tcPr>
            <w:tcW w:w="7488" w:type="dxa"/>
            <w:vAlign w:val="center"/>
          </w:tcPr>
          <w:p w14:paraId="1AE18E59">
            <w:pPr>
              <w:spacing w:after="0" w:line="240" w:lineRule="auto"/>
            </w:pPr>
            <w:r>
              <w:rPr>
                <w:rFonts w:ascii="Aptos" w:hAnsi="Aptos"/>
                <w:b w:val="0"/>
                <w:sz w:val="16"/>
              </w:rPr>
              <w:t>≤5 minute synchronization cannot be guaranteed until change rate, WAN bandwidth and latency are measured.</w:t>
            </w:r>
          </w:p>
        </w:tc>
      </w:tr>
      <w:tr w14:paraId="0CDC7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7F9FB"/>
            <w:vAlign w:val="center"/>
          </w:tcPr>
          <w:p w14:paraId="3C59D7B4">
            <w:pPr>
              <w:spacing w:after="0" w:line="240" w:lineRule="auto"/>
            </w:pPr>
            <w:r>
              <w:rPr>
                <w:rFonts w:ascii="Aptos" w:hAnsi="Aptos"/>
                <w:b w:val="0"/>
                <w:sz w:val="16"/>
              </w:rPr>
              <w:t>Database HA</w:t>
            </w:r>
          </w:p>
        </w:tc>
        <w:tc>
          <w:tcPr>
            <w:tcW w:w="7488" w:type="dxa"/>
            <w:shd w:val="clear" w:color="auto" w:fill="F7F9FB"/>
            <w:vAlign w:val="center"/>
          </w:tcPr>
          <w:p w14:paraId="21FE1DD0">
            <w:pPr>
              <w:spacing w:after="0" w:line="240" w:lineRule="auto"/>
            </w:pPr>
            <w:r>
              <w:rPr>
                <w:rFonts w:ascii="Aptos" w:hAnsi="Aptos"/>
                <w:b w:val="0"/>
                <w:sz w:val="16"/>
              </w:rPr>
              <w:t>Do not assume VM failover alone satisfies database HA/RPO; confirm DB-native requirements with the application vendor.</w:t>
            </w:r>
          </w:p>
        </w:tc>
      </w:tr>
      <w:tr w14:paraId="6D6B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78C8A15">
            <w:pPr>
              <w:spacing w:after="0" w:line="240" w:lineRule="auto"/>
            </w:pPr>
            <w:r>
              <w:rPr>
                <w:rFonts w:ascii="Aptos" w:hAnsi="Aptos"/>
                <w:b w:val="0"/>
                <w:sz w:val="16"/>
              </w:rPr>
              <w:t>RTO</w:t>
            </w:r>
          </w:p>
        </w:tc>
        <w:tc>
          <w:tcPr>
            <w:tcW w:w="7488" w:type="dxa"/>
            <w:vAlign w:val="center"/>
          </w:tcPr>
          <w:p w14:paraId="0F5C7A41">
            <w:pPr>
              <w:spacing w:after="0" w:line="240" w:lineRule="auto"/>
            </w:pPr>
            <w:r>
              <w:rPr>
                <w:rFonts w:ascii="Aptos" w:hAnsi="Aptos"/>
                <w:b w:val="0"/>
                <w:sz w:val="16"/>
              </w:rPr>
              <w:t>RFP target must be validated by end-to-end application testing, not infrastructure boot time alone.</w:t>
            </w:r>
          </w:p>
        </w:tc>
      </w:tr>
      <w:tr w14:paraId="15F9D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7F9FB"/>
            <w:vAlign w:val="center"/>
          </w:tcPr>
          <w:p w14:paraId="481280D7">
            <w:pPr>
              <w:spacing w:after="0" w:line="240" w:lineRule="auto"/>
            </w:pPr>
            <w:r>
              <w:rPr>
                <w:rFonts w:ascii="Aptos" w:hAnsi="Aptos"/>
                <w:b w:val="0"/>
                <w:sz w:val="16"/>
              </w:rPr>
              <w:t>Security</w:t>
            </w:r>
          </w:p>
        </w:tc>
        <w:tc>
          <w:tcPr>
            <w:tcW w:w="7488" w:type="dxa"/>
            <w:shd w:val="clear" w:color="auto" w:fill="F7F9FB"/>
            <w:vAlign w:val="center"/>
          </w:tcPr>
          <w:p w14:paraId="2BDF747E">
            <w:pPr>
              <w:spacing w:after="0" w:line="240" w:lineRule="auto"/>
            </w:pPr>
            <w:r>
              <w:rPr>
                <w:rFonts w:ascii="Aptos" w:hAnsi="Aptos"/>
                <w:b w:val="0"/>
                <w:sz w:val="16"/>
              </w:rPr>
              <w:t>Use MFA/PAM, EDR, SIEM integration, hardened OS baselines, restricted backup administration and NGFW segmentation.</w:t>
            </w:r>
          </w:p>
        </w:tc>
      </w:tr>
      <w:tr w14:paraId="28F3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55EC068">
            <w:pPr>
              <w:spacing w:after="0" w:line="240" w:lineRule="auto"/>
            </w:pPr>
            <w:r>
              <w:rPr>
                <w:rFonts w:ascii="Aptos" w:hAnsi="Aptos"/>
                <w:b w:val="0"/>
                <w:sz w:val="16"/>
              </w:rPr>
              <w:t>Documentation</w:t>
            </w:r>
          </w:p>
        </w:tc>
        <w:tc>
          <w:tcPr>
            <w:tcW w:w="7488" w:type="dxa"/>
            <w:vAlign w:val="center"/>
          </w:tcPr>
          <w:p w14:paraId="7097BBD1">
            <w:pPr>
              <w:spacing w:after="0" w:line="240" w:lineRule="auto"/>
            </w:pPr>
            <w:r>
              <w:rPr>
                <w:rFonts w:ascii="Aptos" w:hAnsi="Aptos"/>
                <w:b w:val="0"/>
                <w:sz w:val="16"/>
              </w:rPr>
              <w:t>Maintain as-built diagrams, IP/VLAN/firewall matrices, backup/restore procedures and DR runbooks.</w:t>
            </w:r>
          </w:p>
        </w:tc>
      </w:tr>
    </w:tbl>
    <w:p w14:paraId="5A7F04A7">
      <w:pPr>
        <w:spacing w:after="20"/>
      </w:pPr>
    </w:p>
    <w:p w14:paraId="0237D984">
      <w:pPr>
        <w:pStyle w:val="2"/>
      </w:pPr>
      <w:r>
        <w:t>11. Compliance Mapping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912"/>
      </w:tblGrid>
      <w:tr w14:paraId="6E5D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0B3A63"/>
            <w:vAlign w:val="center"/>
          </w:tcPr>
          <w:p w14:paraId="32854C84">
            <w:pPr>
              <w:spacing w:after="0" w:line="240" w:lineRule="auto"/>
            </w:pPr>
            <w:r>
              <w:rPr>
                <w:rFonts w:ascii="Aptos" w:hAnsi="Aptos"/>
                <w:b/>
                <w:color w:val="FFFFFF"/>
                <w:sz w:val="17"/>
              </w:rPr>
              <w:t>RFP Area</w:t>
            </w:r>
          </w:p>
        </w:tc>
        <w:tc>
          <w:tcPr>
            <w:tcW w:w="6912" w:type="dxa"/>
            <w:shd w:val="clear" w:color="auto" w:fill="0B3A63"/>
            <w:vAlign w:val="center"/>
          </w:tcPr>
          <w:p w14:paraId="091A4A90">
            <w:pPr>
              <w:spacing w:after="0" w:line="240" w:lineRule="auto"/>
            </w:pPr>
            <w:r>
              <w:rPr>
                <w:rFonts w:ascii="Aptos" w:hAnsi="Aptos"/>
                <w:b/>
                <w:color w:val="FFFFFF"/>
                <w:sz w:val="17"/>
              </w:rPr>
              <w:t>Solution Alignment</w:t>
            </w:r>
          </w:p>
        </w:tc>
      </w:tr>
      <w:tr w14:paraId="2442C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96970EA">
            <w:pPr>
              <w:spacing w:after="0" w:line="240" w:lineRule="auto"/>
            </w:pPr>
            <w:r>
              <w:rPr>
                <w:rFonts w:ascii="Aptos" w:hAnsi="Aptos"/>
                <w:b w:val="0"/>
                <w:sz w:val="16"/>
              </w:rPr>
              <w:t>High availability</w:t>
            </w:r>
          </w:p>
        </w:tc>
        <w:tc>
          <w:tcPr>
            <w:tcW w:w="6912" w:type="dxa"/>
            <w:vAlign w:val="center"/>
          </w:tcPr>
          <w:p w14:paraId="6D1E7F5C">
            <w:pPr>
              <w:spacing w:after="0" w:line="240" w:lineRule="auto"/>
            </w:pPr>
            <w:r>
              <w:rPr>
                <w:rFonts w:ascii="Aptos" w:hAnsi="Aptos"/>
                <w:b w:val="0"/>
                <w:sz w:val="16"/>
              </w:rPr>
              <w:t>Two-node WSFC/Hyper-V clusters, redundant network and SAN paths.</w:t>
            </w:r>
          </w:p>
        </w:tc>
      </w:tr>
      <w:tr w14:paraId="54BF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7F7A1D5E">
            <w:pPr>
              <w:spacing w:after="0" w:line="240" w:lineRule="auto"/>
            </w:pPr>
            <w:r>
              <w:rPr>
                <w:rFonts w:ascii="Aptos" w:hAnsi="Aptos"/>
                <w:b w:val="0"/>
                <w:sz w:val="16"/>
              </w:rPr>
              <w:t>DR architecture</w:t>
            </w:r>
          </w:p>
        </w:tc>
        <w:tc>
          <w:tcPr>
            <w:tcW w:w="6912" w:type="dxa"/>
            <w:shd w:val="clear" w:color="auto" w:fill="F7F9FB"/>
            <w:vAlign w:val="center"/>
          </w:tcPr>
          <w:p w14:paraId="26AA9BBC">
            <w:pPr>
              <w:spacing w:after="0" w:line="240" w:lineRule="auto"/>
            </w:pPr>
            <w:r>
              <w:rPr>
                <w:rFonts w:ascii="Aptos" w:hAnsi="Aptos"/>
                <w:b w:val="0"/>
                <w:sz w:val="16"/>
              </w:rPr>
              <w:t>Secondary two-node cluster, DR SAN, secure WAN and recovery runbook.</w:t>
            </w:r>
          </w:p>
        </w:tc>
      </w:tr>
      <w:tr w14:paraId="0FA30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EED51B6">
            <w:pPr>
              <w:spacing w:after="0" w:line="240" w:lineRule="auto"/>
            </w:pPr>
            <w:r>
              <w:rPr>
                <w:rFonts w:ascii="Aptos" w:hAnsi="Aptos"/>
                <w:b w:val="0"/>
                <w:sz w:val="16"/>
              </w:rPr>
              <w:t>Backup</w:t>
            </w:r>
          </w:p>
        </w:tc>
        <w:tc>
          <w:tcPr>
            <w:tcW w:w="6912" w:type="dxa"/>
            <w:vAlign w:val="center"/>
          </w:tcPr>
          <w:p w14:paraId="3069E0A4">
            <w:pPr>
              <w:spacing w:after="0" w:line="240" w:lineRule="auto"/>
            </w:pPr>
            <w:r>
              <w:rPr>
                <w:rFonts w:ascii="Aptos" w:hAnsi="Aptos"/>
                <w:b w:val="0"/>
                <w:sz w:val="16"/>
              </w:rPr>
              <w:t>Automated Veeam backup for VMs/applications with centralized management.</w:t>
            </w:r>
          </w:p>
        </w:tc>
      </w:tr>
      <w:tr w14:paraId="1BAF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17A33F22">
            <w:pPr>
              <w:spacing w:after="0" w:line="240" w:lineRule="auto"/>
            </w:pPr>
            <w:r>
              <w:rPr>
                <w:rFonts w:ascii="Aptos" w:hAnsi="Aptos"/>
                <w:b w:val="0"/>
                <w:sz w:val="16"/>
              </w:rPr>
              <w:t>Off-site copy</w:t>
            </w:r>
          </w:p>
        </w:tc>
        <w:tc>
          <w:tcPr>
            <w:tcW w:w="6912" w:type="dxa"/>
            <w:shd w:val="clear" w:color="auto" w:fill="F7F9FB"/>
            <w:vAlign w:val="center"/>
          </w:tcPr>
          <w:p w14:paraId="292BE71B">
            <w:pPr>
              <w:spacing w:after="0" w:line="240" w:lineRule="auto"/>
            </w:pPr>
            <w:r>
              <w:rPr>
                <w:rFonts w:ascii="Aptos" w:hAnsi="Aptos"/>
                <w:b w:val="0"/>
                <w:sz w:val="16"/>
              </w:rPr>
              <w:t>Backup copy to DR site.</w:t>
            </w:r>
          </w:p>
        </w:tc>
      </w:tr>
      <w:tr w14:paraId="190B8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06CFF18">
            <w:pPr>
              <w:spacing w:after="0" w:line="240" w:lineRule="auto"/>
            </w:pPr>
            <w:r>
              <w:rPr>
                <w:rFonts w:ascii="Aptos" w:hAnsi="Aptos"/>
                <w:b w:val="0"/>
                <w:sz w:val="16"/>
              </w:rPr>
              <w:t>Immutable storage</w:t>
            </w:r>
          </w:p>
        </w:tc>
        <w:tc>
          <w:tcPr>
            <w:tcW w:w="6912" w:type="dxa"/>
            <w:vAlign w:val="center"/>
          </w:tcPr>
          <w:p w14:paraId="3AF4A536">
            <w:pPr>
              <w:spacing w:after="0" w:line="240" w:lineRule="auto"/>
            </w:pPr>
            <w:r>
              <w:rPr>
                <w:rFonts w:ascii="Aptos" w:hAnsi="Aptos"/>
                <w:b w:val="0"/>
                <w:sz w:val="16"/>
              </w:rPr>
              <w:t>Veeam hardened repository or supported immutable target.</w:t>
            </w:r>
          </w:p>
        </w:tc>
      </w:tr>
      <w:tr w14:paraId="38282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234F57A4">
            <w:pPr>
              <w:spacing w:after="0" w:line="240" w:lineRule="auto"/>
            </w:pPr>
            <w:r>
              <w:rPr>
                <w:rFonts w:ascii="Aptos" w:hAnsi="Aptos"/>
                <w:b w:val="0"/>
                <w:sz w:val="16"/>
              </w:rPr>
              <w:t>Ransomware recovery</w:t>
            </w:r>
          </w:p>
        </w:tc>
        <w:tc>
          <w:tcPr>
            <w:tcW w:w="6912" w:type="dxa"/>
            <w:shd w:val="clear" w:color="auto" w:fill="F7F9FB"/>
            <w:vAlign w:val="center"/>
          </w:tcPr>
          <w:p w14:paraId="5E3883C6">
            <w:pPr>
              <w:spacing w:after="0" w:line="240" w:lineRule="auto"/>
            </w:pPr>
            <w:r>
              <w:rPr>
                <w:rFonts w:ascii="Aptos" w:hAnsi="Aptos"/>
                <w:b w:val="0"/>
                <w:sz w:val="16"/>
              </w:rPr>
              <w:t>Separated backup credentials, immutable copies and tested recovery.</w:t>
            </w:r>
          </w:p>
        </w:tc>
      </w:tr>
      <w:tr w14:paraId="6E90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24171215">
            <w:pPr>
              <w:spacing w:after="0" w:line="240" w:lineRule="auto"/>
            </w:pPr>
            <w:r>
              <w:rPr>
                <w:rFonts w:ascii="Aptos" w:hAnsi="Aptos"/>
                <w:b w:val="0"/>
                <w:sz w:val="16"/>
              </w:rPr>
              <w:t>Network segmentation</w:t>
            </w:r>
          </w:p>
        </w:tc>
        <w:tc>
          <w:tcPr>
            <w:tcW w:w="6912" w:type="dxa"/>
            <w:vAlign w:val="center"/>
          </w:tcPr>
          <w:p w14:paraId="79F4609C">
            <w:pPr>
              <w:spacing w:after="0" w:line="240" w:lineRule="auto"/>
            </w:pPr>
            <w:r>
              <w:rPr>
                <w:rFonts w:ascii="Aptos" w:hAnsi="Aptos"/>
                <w:b w:val="0"/>
                <w:sz w:val="16"/>
              </w:rPr>
              <w:t>Dedicated VLANs/zones with firewall isolation.</w:t>
            </w:r>
          </w:p>
        </w:tc>
      </w:tr>
      <w:tr w14:paraId="4BB7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51E567BB">
            <w:pPr>
              <w:spacing w:after="0" w:line="240" w:lineRule="auto"/>
            </w:pPr>
            <w:r>
              <w:rPr>
                <w:rFonts w:ascii="Aptos" w:hAnsi="Aptos"/>
                <w:b w:val="0"/>
                <w:sz w:val="16"/>
              </w:rPr>
              <w:t>Encryption</w:t>
            </w:r>
          </w:p>
        </w:tc>
        <w:tc>
          <w:tcPr>
            <w:tcW w:w="6912" w:type="dxa"/>
            <w:shd w:val="clear" w:color="auto" w:fill="F7F9FB"/>
            <w:vAlign w:val="center"/>
          </w:tcPr>
          <w:p w14:paraId="3CC6CBFD">
            <w:pPr>
              <w:spacing w:after="0" w:line="240" w:lineRule="auto"/>
            </w:pPr>
            <w:r>
              <w:rPr>
                <w:rFonts w:ascii="Aptos" w:hAnsi="Aptos"/>
                <w:b w:val="0"/>
                <w:sz w:val="16"/>
              </w:rPr>
              <w:t>Encrypted communications; storage/backup encryption where supported.</w:t>
            </w:r>
          </w:p>
        </w:tc>
      </w:tr>
      <w:tr w14:paraId="0A36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2523B51">
            <w:pPr>
              <w:spacing w:after="0" w:line="240" w:lineRule="auto"/>
            </w:pPr>
            <w:r>
              <w:rPr>
                <w:rFonts w:ascii="Aptos" w:hAnsi="Aptos"/>
                <w:b w:val="0"/>
                <w:sz w:val="16"/>
              </w:rPr>
              <w:t>Monitoring</w:t>
            </w:r>
          </w:p>
        </w:tc>
        <w:tc>
          <w:tcPr>
            <w:tcW w:w="6912" w:type="dxa"/>
            <w:vAlign w:val="center"/>
          </w:tcPr>
          <w:p w14:paraId="50601184">
            <w:pPr>
              <w:spacing w:after="0" w:line="240" w:lineRule="auto"/>
            </w:pPr>
            <w:r>
              <w:rPr>
                <w:rFonts w:ascii="Aptos" w:hAnsi="Aptos"/>
                <w:b w:val="0"/>
                <w:sz w:val="16"/>
              </w:rPr>
              <w:t>Infrastructure and backup monitoring with SIEM integration.</w:t>
            </w:r>
          </w:p>
        </w:tc>
      </w:tr>
      <w:tr w14:paraId="33D60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7F9FB"/>
            <w:vAlign w:val="center"/>
          </w:tcPr>
          <w:p w14:paraId="7C31A107">
            <w:pPr>
              <w:spacing w:after="0" w:line="240" w:lineRule="auto"/>
            </w:pPr>
            <w:r>
              <w:rPr>
                <w:rFonts w:ascii="Aptos" w:hAnsi="Aptos"/>
                <w:b w:val="0"/>
                <w:sz w:val="16"/>
              </w:rPr>
              <w:t>Testing</w:t>
            </w:r>
          </w:p>
        </w:tc>
        <w:tc>
          <w:tcPr>
            <w:tcW w:w="6912" w:type="dxa"/>
            <w:shd w:val="clear" w:color="auto" w:fill="F7F9FB"/>
            <w:vAlign w:val="center"/>
          </w:tcPr>
          <w:p w14:paraId="31189F55">
            <w:pPr>
              <w:spacing w:after="0" w:line="240" w:lineRule="auto"/>
            </w:pPr>
            <w:r>
              <w:rPr>
                <w:rFonts w:ascii="Aptos" w:hAnsi="Aptos"/>
                <w:b w:val="0"/>
                <w:sz w:val="16"/>
              </w:rPr>
              <w:t>Cluster, restore, replication and DR acceptance testing plus recurring drills.</w:t>
            </w:r>
          </w:p>
        </w:tc>
      </w:tr>
    </w:tbl>
    <w:p w14:paraId="3ADDD799">
      <w:pPr>
        <w:spacing w:after="20"/>
      </w:pPr>
    </w:p>
    <w:p w14:paraId="38CAEC6B">
      <w:pPr>
        <w:pStyle w:val="3"/>
      </w:pPr>
      <w:r>
        <w:t>11.1 Physical vs. Virtual Component Summary</w:t>
      </w:r>
    </w:p>
    <w:p w14:paraId="09861E42">
      <w:r>
        <w:t>Virtual on Hyper-V clusters: DC/DNS, application, database, API/integration, reverse proxy, monitoring, management tools, Veeam Backup Server and other application VMs. Physical/separate infrastructure: Hyper-V hosts, SAN, core/access switches, firewalls, primary backup repository, immutable backup repository and DR backup repository.</w:t>
      </w:r>
    </w:p>
    <w:p w14:paraId="5EA2ED90">
      <w:pPr>
        <w:pStyle w:val="2"/>
      </w:pPr>
      <w:r>
        <w:t>12. Conclusion</w:t>
      </w:r>
    </w:p>
    <w:p w14:paraId="5816146C">
      <w:r>
        <w:t>The proposed architecture provides a practical enterprise platform for the RFP: local high availability through a two-node Hyper-V failover cluster, shared resilient SAN storage, redundant networking, security segmentation, a physically/logically separate DR environment and a ransomware-resilient backup design. Veeam is suitable as the backup and replication platform for this architecture, provided the final selected version is validated against the exact Hyper-V, Windows Server, storage and application versions at implementation.</w:t>
      </w:r>
    </w:p>
    <w:p w14:paraId="7EEFDB2F">
      <w:r>
        <w:t>The next engineering step should be a detailed sizing exercise followed by an OEM-specific BOM. At that stage, server CPU/RAM, SAN disk counts, switch port counts, firewall throughput, WAN bandwidth and Veeam repository capacity can be converted from preliminary allowances into tender-ready specifications.</w:t>
      </w:r>
    </w:p>
    <w:p w14:paraId="5783B747">
      <w:pPr>
        <w:pStyle w:val="2"/>
      </w:pPr>
      <w:r>
        <w:t>Appendix A – Source Basis</w:t>
      </w:r>
    </w:p>
    <w:p w14:paraId="69370001">
      <w:r>
        <w:t>RFP basis:</w:t>
      </w:r>
    </w:p>
    <w:p w14:paraId="3CABE68E">
      <w:pPr>
        <w:pStyle w:val="23"/>
        <w:spacing w:after="40"/>
      </w:pPr>
      <w:r>
        <w:t>Digital Malawi Acceleration Project – RFP No. MW-PPPC-546386-GO-RFB, Section VII Purchaser’s Requirements.</w:t>
      </w:r>
    </w:p>
    <w:p w14:paraId="42F1AC94">
      <w:pPr>
        <w:pStyle w:val="23"/>
        <w:spacing w:after="40"/>
      </w:pPr>
      <w:r>
        <w:t>Architectural requirements: multi-tier software, HA clustering, backup replication, DR synchronization and enterprise-grade redundant hardware.</w:t>
      </w:r>
    </w:p>
    <w:p w14:paraId="49AD22C6">
      <w:pPr>
        <w:pStyle w:val="23"/>
        <w:spacing w:after="40"/>
      </w:pPr>
      <w:r>
        <w:t>Backup/DR requirements: automated backups, encryption, validation, off-site replication, immutable storage, centralized management, RTO/RPO, DR synchronization and testing.</w:t>
      </w:r>
    </w:p>
    <w:p w14:paraId="5C294E63">
      <w:pPr>
        <w:pStyle w:val="23"/>
        <w:spacing w:after="40"/>
      </w:pPr>
      <w:r>
        <w:t>Performance requirements: automatic failover initiation ≤60 seconds; full service recovery 5–15 minutes depending on architecture; primary-to-DR synchronization near-real-time or ≤5 minutes.</w:t>
      </w:r>
    </w:p>
    <w:p w14:paraId="3058AC19">
      <w:r>
        <w:t>External product validation:</w:t>
      </w:r>
    </w:p>
    <w:p w14:paraId="51F91AD3">
      <w:pPr>
        <w:pStyle w:val="23"/>
        <w:spacing w:after="40"/>
      </w:pPr>
      <w:r>
        <w:t>Veeam Backup &amp; Replication User Guide – Microsoft Hyper-V platform support (accessed 26 Sep 2026).</w:t>
      </w:r>
    </w:p>
    <w:p w14:paraId="4C83859F">
      <w:pPr>
        <w:pStyle w:val="23"/>
        <w:spacing w:after="40"/>
      </w:pPr>
      <w:r>
        <w:t>Veeam Backup &amp; Replication User Guide – Immutability for Backup Files (accessed 26 Sep 2026).</w:t>
      </w:r>
    </w:p>
    <w:p w14:paraId="0D7A89D1">
      <w:pPr>
        <w:pStyle w:val="23"/>
        <w:spacing w:after="40"/>
      </w:pPr>
      <w:r>
        <w:t>Veeam Backup &amp; Replication User Guide – Hyper-V backup proxy/system requirements and replication prerequisites (accessed 26 Sep 2026).</w:t>
      </w:r>
    </w:p>
    <w:p w14:paraId="65DF2DA1">
      <w:pPr>
        <w:pStyle w:val="23"/>
        <w:spacing w:after="40"/>
      </w:pPr>
      <w:r>
        <w:t>Microsoft Learn – Failover clustering hardware requirements and storage options (accessed 26 Sep 2026).</w:t>
      </w:r>
    </w:p>
    <w:sectPr>
      <w:headerReference r:id="rId5" w:type="default"/>
      <w:footerReference r:id="rId6"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01D17">
    <w:pPr>
      <w:pStyle w:val="18"/>
      <w:jc w:val="center"/>
    </w:pPr>
    <w:r>
      <w:rPr>
        <w:color w:val="5B6573"/>
        <w:sz w:val="15"/>
      </w:rPr>
      <w:t>Technical Solution – Prepared against the Digital Malawi Acceleration Project RFP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B6D5A">
    <w:pPr>
      <w:pStyle w:val="19"/>
      <w:jc w:val="right"/>
    </w:pPr>
    <w:r>
      <w:rPr>
        <w:color w:val="5B6573"/>
        <w:sz w:val="15"/>
      </w:rPr>
      <w:t>PROPOSED INFRASTRUCTURE SOLUTION | HIGH AVAILABILITY • DR • BACKUP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FB0B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0B3A63"/>
      <w:sz w:val="32"/>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1F6FAE"/>
      <w:sz w:val="25"/>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2F6B4F"/>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200" w:after="100" w:line="240" w:lineRule="auto"/>
      <w:contextualSpacing/>
    </w:pPr>
    <w:rPr>
      <w:rFonts w:asciiTheme="majorHAnsi" w:hAnsiTheme="majorHAnsi" w:eastAsiaTheme="majorEastAsia" w:cstheme="majorBidi"/>
      <w:b/>
      <w:color w:val="0B3A63"/>
      <w:spacing w:val="5"/>
      <w:kern w:val="28"/>
      <w:sz w:val="5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w:uiPriority w:val="0"/>
    <w:pPr>
      <w:spacing w:after="200" w:line="276" w:lineRule="auto"/>
    </w:pPr>
    <w:rPr>
      <w:rFonts w:ascii="Aptos" w:hAnsi="Aptos" w:eastAsiaTheme="minorEastAsia" w:cstheme="minorBidi"/>
      <w:color w:val="5B6573"/>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557</Words>
  <Characters>3734</Characters>
  <Lines>0</Lines>
  <Paragraphs>0</Paragraphs>
  <TotalTime>30</TotalTime>
  <ScaleCrop>false</ScaleCrop>
  <LinksUpToDate>false</LinksUpToDate>
  <CharactersWithSpaces>4241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Mohammad</cp:lastModifiedBy>
  <dcterms:modified xsi:type="dcterms:W3CDTF">2026-09-29T18:07:00Z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eyJoZGlkIjoiZjIyMmNmM2RlMTkzNjhlMDk5NGIzMDhjYWNjNDhiNmUifQ==</vt:lpwstr>
  </property>
  <property fmtid="{D5CDD505-2E9C-101B-9397-08002B2CF9AE}" pid="3" name="KSOProductBuildVer">
    <vt:lpwstr>1033-12.1.0.28485</vt:lpwstr>
  </property>
  <property fmtid="{D5CDD505-2E9C-101B-9397-08002B2CF9AE}" pid="4" name="ICV">
    <vt:lpwstr>FDC6799D1DC440D1891EE4AE839F9755_12</vt:lpwstr>
  </property>
</Properties>
</file>