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B90DA">
      <w:pPr>
        <w:jc w:val="center"/>
        <w:rPr>
          <w:b/>
          <w:color w:val="1F4E79"/>
          <w:sz w:val="50"/>
        </w:rPr>
      </w:pPr>
      <w:r>
        <w:rPr>
          <w:b/>
          <w:color w:val="1F4E79"/>
          <w:sz w:val="50"/>
        </w:rPr>
        <w:br w:type="textWrapping"/>
      </w:r>
    </w:p>
    <w:p w14:paraId="22CB1D32">
      <w:pPr>
        <w:jc w:val="center"/>
        <w:rPr>
          <w:b/>
          <w:color w:val="1F4E79"/>
          <w:sz w:val="50"/>
        </w:rPr>
      </w:pPr>
    </w:p>
    <w:p w14:paraId="61A83B5B">
      <w:pPr>
        <w:jc w:val="center"/>
        <w:rPr>
          <w:b/>
          <w:color w:val="1F4E79"/>
          <w:sz w:val="50"/>
        </w:rPr>
      </w:pPr>
    </w:p>
    <w:p w14:paraId="5EF53132">
      <w:pPr>
        <w:jc w:val="center"/>
        <w:rPr>
          <w:b/>
          <w:color w:val="1F4E79"/>
          <w:sz w:val="50"/>
        </w:rPr>
      </w:pPr>
    </w:p>
    <w:p w14:paraId="151AB6B1">
      <w:pPr>
        <w:jc w:val="center"/>
      </w:pPr>
      <w:r>
        <w:rPr>
          <w:b/>
          <w:color w:val="1F4E79"/>
          <w:sz w:val="50"/>
        </w:rPr>
        <w:t>PROPOSED INFRASTRUCTURE SOLUTION</w:t>
      </w:r>
      <w:r>
        <w:rPr>
          <w:b/>
          <w:color w:val="1F4E79"/>
          <w:sz w:val="50"/>
        </w:rPr>
        <w:br w:type="textWrapping"/>
      </w:r>
      <w:r>
        <w:rPr>
          <w:color w:val="595959"/>
          <w:sz w:val="30"/>
        </w:rPr>
        <w:t>RFP Infrastructure Requirements, Compliance and Updated Technical Design</w:t>
      </w:r>
    </w:p>
    <w:p w14:paraId="539F5F94">
      <w:pPr>
        <w:jc w:val="center"/>
      </w:pPr>
      <w:r>
        <w:rPr>
          <w:b/>
        </w:rPr>
        <w:br w:type="textWrapping"/>
      </w:r>
      <w:r>
        <w:rPr>
          <w:b/>
        </w:rPr>
        <w:t>Digital Malawi Acceleration Project</w:t>
      </w:r>
      <w:r>
        <w:rPr>
          <w:b/>
        </w:rPr>
        <w:br w:type="textWrapping"/>
      </w:r>
      <w:r>
        <w:rPr>
          <w:b/>
        </w:rPr>
        <w:t>Central Printing Facility</w:t>
      </w:r>
      <w:r>
        <w:rPr>
          <w:b/>
        </w:rPr>
        <w:br w:type="textWrapping"/>
      </w:r>
      <w:r>
        <w:t>RFP No. MW-PPPC-546386-GO-RFB</w:t>
      </w:r>
      <w:r>
        <w:br w:type="textWrapping"/>
      </w:r>
      <w:r>
        <w:t>Updated Technical Baseline - September 2026</w:t>
      </w:r>
    </w:p>
    <w:p w14:paraId="163BF8F2">
      <w:pPr>
        <w:jc w:val="center"/>
        <w:rPr>
          <w:b/>
          <w:color w:val="1F4E79"/>
          <w:sz w:val="50"/>
        </w:rPr>
      </w:pPr>
    </w:p>
    <w:p w14:paraId="24548272">
      <w:pPr>
        <w:jc w:val="center"/>
      </w:pPr>
    </w:p>
    <w:p w14:paraId="4D0F6716">
      <w:r>
        <w:br w:type="page"/>
      </w:r>
    </w:p>
    <w:p w14:paraId="4F66E396">
      <w:pPr>
        <w:pStyle w:val="2"/>
      </w:pPr>
      <w:r>
        <w:t>1. Executive Summary</w:t>
      </w:r>
    </w:p>
    <w:p w14:paraId="6FEB8E32">
      <w:r>
        <w:t>This document presents the updated infrastructure solution proposed to satisfy the infrastructure, high-availability, disaster-recovery, backup, cybersecurity, monitoring and facility requirements of the RFP. The design has been updated to separate application and database compute at the Primary site while retaining a consolidated recovery platform at the DR site.</w:t>
      </w:r>
    </w:p>
    <w:p w14:paraId="34156954">
      <w:r>
        <w:t>The Primary site comprises four Hyper-V hosts: a two-node Application Cluster and a separate two-node Database Cluster. All four hosts access the same enterprise shared SAN through redundant storage paths. The DR site comprises a two-node consolidated Hyper-V cluster capable of hosting both application and database recovery workloads. Each host is proposed with 24 physical CPU cores and 256 GB RAM. Each site is proposed with not less than 20 TB usable shared SAN capacity.</w:t>
      </w:r>
    </w:p>
    <w:p w14:paraId="200D3D1D">
      <w:r>
        <w:t>The workload baseline includes approximately 15 production VMs plus development, training and test environments. The architecture also includes redundant core and edge switching, HA next-generation firewalls, Veeam-based backup and replication, encrypted backup repositories, immutable anti-ransomware storage, HSM capability, SIEM integration and SOC capability/integration.</w:t>
      </w:r>
    </w:p>
    <w:p w14:paraId="7CBBF61B">
      <w:pPr>
        <w:pStyle w:val="2"/>
      </w:pPr>
      <w:r>
        <w:t>2. RFP Basis and Design Principle</w:t>
      </w:r>
    </w:p>
    <w:p w14:paraId="7EF7899A">
      <w:r>
        <w:t>The RFP requires a secure, scalable, redundant, enterprise-grade hardware architecture for a mission-critical national identity personalization environment. It also requires clustering, automated failover, backup replication, disaster-recovery synchronization, point-in-time recovery and high-availability database clustering. These requirements appear in Section VII, Architectural Requirements (approximately pp. 139-141).</w:t>
      </w:r>
    </w:p>
    <w:p w14:paraId="4592DF78">
      <w:r>
        <w:t>The RFP does not prescribe exact server CPU/RAM, SAN capacity in TB, server count, hypervisor product, SAN versus S2D, or backup repository capacity. Accordingly, the 24-core/256-GB host sizing, four-host Primary topology, two-host DR topology and &gt;=20 TB usable SAN capacity per site are bidder-proposed technical sizing choices and must be validated against final application, database, retention and growth data.</w:t>
      </w:r>
    </w:p>
    <w:p w14:paraId="3864B311">
      <w:pPr>
        <w:pStyle w:val="2"/>
      </w:pPr>
      <w:r>
        <w:t>3. Infrastructure Architecture</w:t>
      </w:r>
    </w:p>
    <w:p w14:paraId="782A27F7">
      <w:pPr>
        <w:jc w:val="center"/>
      </w:pPr>
      <w:r>
        <w:drawing>
          <wp:inline distT="0" distB="0" distL="114300" distR="114300">
            <wp:extent cx="64008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400800" cy="4267200"/>
                    </a:xfrm>
                    <a:prstGeom prst="rect">
                      <a:avLst/>
                    </a:prstGeom>
                  </pic:spPr>
                </pic:pic>
              </a:graphicData>
            </a:graphic>
          </wp:inline>
        </w:drawing>
      </w:r>
    </w:p>
    <w:p w14:paraId="0A2195B0">
      <w:pPr>
        <w:jc w:val="center"/>
      </w:pPr>
      <w:r>
        <w:rPr>
          <w:i/>
          <w:sz w:val="16"/>
        </w:rPr>
        <w:t>Figure 2 - Detailed Primary, DR, Backup and Security Architecture</w:t>
      </w:r>
    </w:p>
    <w:p w14:paraId="5DC85E92">
      <w:pPr>
        <w:pStyle w:val="3"/>
      </w:pPr>
      <w:r>
        <w:t>3.1 Primary 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7"/>
        <w:gridCol w:w="5227"/>
      </w:tblGrid>
      <w:tr w14:paraId="5B86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27" w:type="dxa"/>
            <w:shd w:val="clear" w:color="auto" w:fill="1F4E79"/>
            <w:vAlign w:val="center"/>
          </w:tcPr>
          <w:p w14:paraId="57AC6088">
            <w:pPr>
              <w:pStyle w:val="164"/>
              <w:spacing w:after="0" w:line="240" w:lineRule="auto"/>
            </w:pPr>
            <w:r>
              <w:rPr>
                <w:b/>
                <w:color w:val="FFFFFF"/>
                <w:sz w:val="15"/>
              </w:rPr>
              <w:t>Layer</w:t>
            </w:r>
          </w:p>
        </w:tc>
        <w:tc>
          <w:tcPr>
            <w:tcW w:w="5227" w:type="dxa"/>
            <w:shd w:val="clear" w:color="auto" w:fill="1F4E79"/>
            <w:vAlign w:val="center"/>
          </w:tcPr>
          <w:p w14:paraId="7B8D5207">
            <w:pPr>
              <w:pStyle w:val="164"/>
              <w:spacing w:after="0" w:line="240" w:lineRule="auto"/>
            </w:pPr>
            <w:r>
              <w:rPr>
                <w:b/>
                <w:color w:val="FFFFFF"/>
                <w:sz w:val="15"/>
              </w:rPr>
              <w:t>Updated Proposed Design</w:t>
            </w:r>
          </w:p>
        </w:tc>
      </w:tr>
      <w:tr w14:paraId="522E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F310D72">
            <w:pPr>
              <w:pStyle w:val="164"/>
              <w:spacing w:after="0" w:line="240" w:lineRule="auto"/>
            </w:pPr>
            <w:r>
              <w:rPr>
                <w:b w:val="0"/>
                <w:sz w:val="15"/>
              </w:rPr>
              <w:t>Application Compute</w:t>
            </w:r>
          </w:p>
        </w:tc>
        <w:tc>
          <w:tcPr>
            <w:tcW w:w="5227" w:type="dxa"/>
            <w:vAlign w:val="center"/>
          </w:tcPr>
          <w:p w14:paraId="511599D4">
            <w:pPr>
              <w:pStyle w:val="164"/>
              <w:spacing w:after="0" w:line="240" w:lineRule="auto"/>
            </w:pPr>
            <w:r>
              <w:rPr>
                <w:b w:val="0"/>
                <w:sz w:val="15"/>
              </w:rPr>
              <w:t>2-node Hyper-V/WSFC Application Cluster. Each node: 24 physical cores, 256 GB RAM. Hosts production application VMs and non-production VMs according to capacity and isolation policy.</w:t>
            </w:r>
          </w:p>
        </w:tc>
      </w:tr>
      <w:tr w14:paraId="1591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87BB5FD">
            <w:pPr>
              <w:pStyle w:val="164"/>
              <w:spacing w:after="0" w:line="240" w:lineRule="auto"/>
            </w:pPr>
            <w:r>
              <w:rPr>
                <w:b w:val="0"/>
                <w:sz w:val="15"/>
              </w:rPr>
              <w:t>Database Compute</w:t>
            </w:r>
          </w:p>
        </w:tc>
        <w:tc>
          <w:tcPr>
            <w:tcW w:w="5227" w:type="dxa"/>
            <w:vAlign w:val="center"/>
          </w:tcPr>
          <w:p w14:paraId="7B6490F0">
            <w:pPr>
              <w:pStyle w:val="164"/>
              <w:spacing w:after="0" w:line="240" w:lineRule="auto"/>
            </w:pPr>
            <w:r>
              <w:rPr>
                <w:b w:val="0"/>
                <w:sz w:val="15"/>
              </w:rPr>
              <w:t>Separate 2-node Hyper-V/WSFC Database Cluster. Each node: 24 physical cores, 256 GB RAM. Dedicated to database workloads and related database services.</w:t>
            </w:r>
          </w:p>
        </w:tc>
      </w:tr>
      <w:tr w14:paraId="3049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085C8FB">
            <w:pPr>
              <w:pStyle w:val="164"/>
              <w:spacing w:after="0" w:line="240" w:lineRule="auto"/>
            </w:pPr>
            <w:r>
              <w:rPr>
                <w:b w:val="0"/>
                <w:sz w:val="15"/>
              </w:rPr>
              <w:t>Shared Storage</w:t>
            </w:r>
          </w:p>
        </w:tc>
        <w:tc>
          <w:tcPr>
            <w:tcW w:w="5227" w:type="dxa"/>
            <w:vAlign w:val="center"/>
          </w:tcPr>
          <w:p w14:paraId="49A184D8">
            <w:pPr>
              <w:pStyle w:val="164"/>
              <w:spacing w:after="0" w:line="240" w:lineRule="auto"/>
            </w:pPr>
            <w:r>
              <w:rPr>
                <w:b w:val="0"/>
                <w:sz w:val="15"/>
              </w:rPr>
              <w:t>One enterprise dual-controller shared SAN accessible by both clusters through redundant FC or iSCSI paths. Proposed minimum capacity: &gt;=20 TB usable.</w:t>
            </w:r>
          </w:p>
        </w:tc>
      </w:tr>
      <w:tr w14:paraId="75C7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750423C3">
            <w:pPr>
              <w:pStyle w:val="164"/>
              <w:spacing w:after="0" w:line="240" w:lineRule="auto"/>
            </w:pPr>
            <w:r>
              <w:rPr>
                <w:b w:val="0"/>
                <w:sz w:val="15"/>
              </w:rPr>
              <w:t>Core Network</w:t>
            </w:r>
          </w:p>
        </w:tc>
        <w:tc>
          <w:tcPr>
            <w:tcW w:w="5227" w:type="dxa"/>
            <w:vAlign w:val="center"/>
          </w:tcPr>
          <w:p w14:paraId="56D6519A">
            <w:pPr>
              <w:pStyle w:val="164"/>
              <w:spacing w:after="0" w:line="240" w:lineRule="auto"/>
            </w:pPr>
            <w:r>
              <w:rPr>
                <w:b w:val="0"/>
                <w:sz w:val="15"/>
              </w:rPr>
              <w:t>2 redundant Layer-3 core switches with resilient uplinks to firewalls, hosts, storage and access layer.</w:t>
            </w:r>
          </w:p>
        </w:tc>
      </w:tr>
      <w:tr w14:paraId="3468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3B17C2F">
            <w:pPr>
              <w:pStyle w:val="164"/>
              <w:spacing w:after="0" w:line="240" w:lineRule="auto"/>
            </w:pPr>
            <w:r>
              <w:rPr>
                <w:b w:val="0"/>
                <w:sz w:val="15"/>
              </w:rPr>
              <w:t>Access Network</w:t>
            </w:r>
          </w:p>
        </w:tc>
        <w:tc>
          <w:tcPr>
            <w:tcW w:w="5227" w:type="dxa"/>
            <w:vAlign w:val="center"/>
          </w:tcPr>
          <w:p w14:paraId="133F57C7">
            <w:pPr>
              <w:pStyle w:val="164"/>
              <w:spacing w:after="0" w:line="240" w:lineRule="auto"/>
            </w:pPr>
            <w:r>
              <w:rPr>
                <w:b w:val="0"/>
                <w:sz w:val="15"/>
              </w:rPr>
              <w:t>2 redundant managed PoE+ edge/access switches, interconnected/stacked or equivalent resilient design.</w:t>
            </w:r>
          </w:p>
        </w:tc>
      </w:tr>
      <w:tr w14:paraId="723E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680CC99B">
            <w:pPr>
              <w:pStyle w:val="164"/>
              <w:spacing w:after="0" w:line="240" w:lineRule="auto"/>
            </w:pPr>
            <w:r>
              <w:rPr>
                <w:b w:val="0"/>
                <w:sz w:val="15"/>
              </w:rPr>
              <w:t>Security Perimeter</w:t>
            </w:r>
          </w:p>
        </w:tc>
        <w:tc>
          <w:tcPr>
            <w:tcW w:w="5227" w:type="dxa"/>
            <w:vAlign w:val="center"/>
          </w:tcPr>
          <w:p w14:paraId="6DD45819">
            <w:pPr>
              <w:pStyle w:val="164"/>
              <w:spacing w:after="0" w:line="240" w:lineRule="auto"/>
            </w:pPr>
            <w:r>
              <w:rPr>
                <w:b w:val="0"/>
                <w:sz w:val="15"/>
              </w:rPr>
              <w:t>HA next-generation firewall pair with DMZ and segmented internal security zones.</w:t>
            </w:r>
          </w:p>
        </w:tc>
      </w:tr>
      <w:tr w14:paraId="0D09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3A40452">
            <w:pPr>
              <w:pStyle w:val="164"/>
              <w:spacing w:after="0" w:line="240" w:lineRule="auto"/>
            </w:pPr>
            <w:r>
              <w:rPr>
                <w:b w:val="0"/>
                <w:sz w:val="15"/>
              </w:rPr>
              <w:t>Backup</w:t>
            </w:r>
          </w:p>
        </w:tc>
        <w:tc>
          <w:tcPr>
            <w:tcW w:w="5227" w:type="dxa"/>
            <w:vAlign w:val="center"/>
          </w:tcPr>
          <w:p w14:paraId="5F3DF97A">
            <w:pPr>
              <w:pStyle w:val="164"/>
              <w:spacing w:after="0" w:line="240" w:lineRule="auto"/>
            </w:pPr>
            <w:r>
              <w:rPr>
                <w:b w:val="0"/>
                <w:sz w:val="15"/>
              </w:rPr>
              <w:t>Veeam Backup Server, encrypted primary backup repository, immutable anti-ransomware storage and encrypted off-site replication.</w:t>
            </w:r>
          </w:p>
        </w:tc>
      </w:tr>
      <w:tr w14:paraId="5BB4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1859471E">
            <w:pPr>
              <w:pStyle w:val="164"/>
              <w:spacing w:after="0" w:line="240" w:lineRule="auto"/>
            </w:pPr>
            <w:r>
              <w:rPr>
                <w:b w:val="0"/>
                <w:sz w:val="15"/>
              </w:rPr>
              <w:t>Security Monitoring</w:t>
            </w:r>
            <w:bookmarkStart w:id="0" w:name="_GoBack"/>
            <w:bookmarkEnd w:id="0"/>
          </w:p>
        </w:tc>
        <w:tc>
          <w:tcPr>
            <w:tcW w:w="5227" w:type="dxa"/>
            <w:vAlign w:val="center"/>
          </w:tcPr>
          <w:p w14:paraId="30C2BAB2">
            <w:pPr>
              <w:pStyle w:val="164"/>
              <w:spacing w:after="0" w:line="240" w:lineRule="auto"/>
            </w:pPr>
            <w:r>
              <w:rPr>
                <w:b w:val="0"/>
                <w:sz w:val="15"/>
              </w:rPr>
              <w:t>HSM, SIEM integration and SOC capability/integration.</w:t>
            </w:r>
          </w:p>
        </w:tc>
      </w:tr>
    </w:tbl>
    <w:p w14:paraId="284F99D1">
      <w:pPr>
        <w:spacing w:after="0"/>
      </w:pPr>
    </w:p>
    <w:p w14:paraId="7EF29F63">
      <w:pPr>
        <w:pStyle w:val="3"/>
      </w:pPr>
      <w:r>
        <w:t>3.2 DR 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7"/>
        <w:gridCol w:w="5227"/>
      </w:tblGrid>
      <w:tr w14:paraId="7C2F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27" w:type="dxa"/>
            <w:shd w:val="clear" w:color="auto" w:fill="1F4E79"/>
            <w:vAlign w:val="center"/>
          </w:tcPr>
          <w:p w14:paraId="029F11CB">
            <w:pPr>
              <w:pStyle w:val="164"/>
              <w:spacing w:after="0" w:line="240" w:lineRule="auto"/>
            </w:pPr>
            <w:r>
              <w:rPr>
                <w:b/>
                <w:color w:val="FFFFFF"/>
                <w:sz w:val="15"/>
              </w:rPr>
              <w:t>Layer</w:t>
            </w:r>
          </w:p>
        </w:tc>
        <w:tc>
          <w:tcPr>
            <w:tcW w:w="5227" w:type="dxa"/>
            <w:shd w:val="clear" w:color="auto" w:fill="1F4E79"/>
            <w:vAlign w:val="center"/>
          </w:tcPr>
          <w:p w14:paraId="7AF60A84">
            <w:pPr>
              <w:pStyle w:val="164"/>
              <w:spacing w:after="0" w:line="240" w:lineRule="auto"/>
            </w:pPr>
            <w:r>
              <w:rPr>
                <w:b/>
                <w:color w:val="FFFFFF"/>
                <w:sz w:val="15"/>
              </w:rPr>
              <w:t>Updated Proposed Design</w:t>
            </w:r>
          </w:p>
        </w:tc>
      </w:tr>
      <w:tr w14:paraId="5FA9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64E52C3D">
            <w:pPr>
              <w:pStyle w:val="164"/>
              <w:spacing w:after="0" w:line="240" w:lineRule="auto"/>
            </w:pPr>
            <w:r>
              <w:rPr>
                <w:b w:val="0"/>
                <w:sz w:val="15"/>
              </w:rPr>
              <w:t>Compute</w:t>
            </w:r>
          </w:p>
        </w:tc>
        <w:tc>
          <w:tcPr>
            <w:tcW w:w="5227" w:type="dxa"/>
            <w:vAlign w:val="center"/>
          </w:tcPr>
          <w:p w14:paraId="30355841">
            <w:pPr>
              <w:pStyle w:val="164"/>
              <w:spacing w:after="0" w:line="240" w:lineRule="auto"/>
            </w:pPr>
            <w:r>
              <w:rPr>
                <w:b w:val="0"/>
                <w:sz w:val="15"/>
              </w:rPr>
              <w:t>2-node consolidated Hyper-V/WSFC DR cluster. Each node: 24 physical cores, 256 GB RAM. Hosts recovered Application and Database VMs.</w:t>
            </w:r>
          </w:p>
        </w:tc>
      </w:tr>
      <w:tr w14:paraId="77A1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102D0B1">
            <w:pPr>
              <w:pStyle w:val="164"/>
              <w:spacing w:after="0" w:line="240" w:lineRule="auto"/>
            </w:pPr>
            <w:r>
              <w:rPr>
                <w:b w:val="0"/>
                <w:sz w:val="15"/>
              </w:rPr>
              <w:t>Shared Storage</w:t>
            </w:r>
          </w:p>
        </w:tc>
        <w:tc>
          <w:tcPr>
            <w:tcW w:w="5227" w:type="dxa"/>
            <w:vAlign w:val="center"/>
          </w:tcPr>
          <w:p w14:paraId="7D5EA534">
            <w:pPr>
              <w:pStyle w:val="164"/>
              <w:spacing w:after="0" w:line="240" w:lineRule="auto"/>
            </w:pPr>
            <w:r>
              <w:rPr>
                <w:b w:val="0"/>
                <w:sz w:val="15"/>
              </w:rPr>
              <w:t>Independent enterprise dual-controller SAN. Proposed minimum capacity: &gt;=20 TB usable, same proposed usable capacity as Primary.</w:t>
            </w:r>
          </w:p>
        </w:tc>
      </w:tr>
      <w:tr w14:paraId="4094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6CDD1994">
            <w:pPr>
              <w:pStyle w:val="164"/>
              <w:spacing w:after="0" w:line="240" w:lineRule="auto"/>
            </w:pPr>
            <w:r>
              <w:rPr>
                <w:b w:val="0"/>
                <w:sz w:val="15"/>
              </w:rPr>
              <w:t>Core Network</w:t>
            </w:r>
          </w:p>
        </w:tc>
        <w:tc>
          <w:tcPr>
            <w:tcW w:w="5227" w:type="dxa"/>
            <w:vAlign w:val="center"/>
          </w:tcPr>
          <w:p w14:paraId="277E4902">
            <w:pPr>
              <w:pStyle w:val="164"/>
              <w:spacing w:after="0" w:line="240" w:lineRule="auto"/>
            </w:pPr>
            <w:r>
              <w:rPr>
                <w:b w:val="0"/>
                <w:sz w:val="15"/>
              </w:rPr>
              <w:t>2 redundant Layer-3 core switches.</w:t>
            </w:r>
          </w:p>
        </w:tc>
      </w:tr>
      <w:tr w14:paraId="1689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69DCA20">
            <w:pPr>
              <w:pStyle w:val="164"/>
              <w:spacing w:after="0" w:line="240" w:lineRule="auto"/>
            </w:pPr>
            <w:r>
              <w:rPr>
                <w:b w:val="0"/>
                <w:sz w:val="15"/>
              </w:rPr>
              <w:t>Access Network</w:t>
            </w:r>
          </w:p>
        </w:tc>
        <w:tc>
          <w:tcPr>
            <w:tcW w:w="5227" w:type="dxa"/>
            <w:vAlign w:val="center"/>
          </w:tcPr>
          <w:p w14:paraId="3FC5B3CF">
            <w:pPr>
              <w:pStyle w:val="164"/>
              <w:spacing w:after="0" w:line="240" w:lineRule="auto"/>
            </w:pPr>
            <w:r>
              <w:rPr>
                <w:b w:val="0"/>
                <w:sz w:val="15"/>
              </w:rPr>
              <w:t>2 redundant managed PoE+ edge/access switches.</w:t>
            </w:r>
          </w:p>
        </w:tc>
      </w:tr>
      <w:tr w14:paraId="4077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3579313">
            <w:pPr>
              <w:pStyle w:val="164"/>
              <w:spacing w:after="0" w:line="240" w:lineRule="auto"/>
            </w:pPr>
            <w:r>
              <w:rPr>
                <w:b w:val="0"/>
                <w:sz w:val="15"/>
              </w:rPr>
              <w:t>Security</w:t>
            </w:r>
          </w:p>
        </w:tc>
        <w:tc>
          <w:tcPr>
            <w:tcW w:w="5227" w:type="dxa"/>
            <w:vAlign w:val="center"/>
          </w:tcPr>
          <w:p w14:paraId="30270564">
            <w:pPr>
              <w:pStyle w:val="164"/>
              <w:spacing w:after="0" w:line="240" w:lineRule="auto"/>
            </w:pPr>
            <w:r>
              <w:rPr>
                <w:b w:val="0"/>
                <w:sz w:val="15"/>
              </w:rPr>
              <w:t>Resilient NGFW architecture and the same logical security-zone model as Primary.</w:t>
            </w:r>
          </w:p>
        </w:tc>
      </w:tr>
      <w:tr w14:paraId="2B48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42BD29B">
            <w:pPr>
              <w:pStyle w:val="164"/>
              <w:spacing w:after="0" w:line="240" w:lineRule="auto"/>
            </w:pPr>
            <w:r>
              <w:rPr>
                <w:b w:val="0"/>
                <w:sz w:val="15"/>
              </w:rPr>
              <w:t>Backup</w:t>
            </w:r>
          </w:p>
        </w:tc>
        <w:tc>
          <w:tcPr>
            <w:tcW w:w="5227" w:type="dxa"/>
            <w:vAlign w:val="center"/>
          </w:tcPr>
          <w:p w14:paraId="7FE92EE6">
            <w:pPr>
              <w:pStyle w:val="164"/>
              <w:spacing w:after="0" w:line="240" w:lineRule="auto"/>
            </w:pPr>
            <w:r>
              <w:rPr>
                <w:b w:val="0"/>
                <w:sz w:val="15"/>
              </w:rPr>
              <w:t>Encrypted DR backup repository plus immutable anti-ransomware storage. Receives encrypted off-site backup copies from Primary.</w:t>
            </w:r>
          </w:p>
        </w:tc>
      </w:tr>
      <w:tr w14:paraId="46DE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D0FB93F">
            <w:pPr>
              <w:pStyle w:val="164"/>
              <w:spacing w:after="0" w:line="240" w:lineRule="auto"/>
            </w:pPr>
            <w:r>
              <w:rPr>
                <w:b w:val="0"/>
                <w:sz w:val="15"/>
              </w:rPr>
              <w:t>Recovery</w:t>
            </w:r>
          </w:p>
        </w:tc>
        <w:tc>
          <w:tcPr>
            <w:tcW w:w="5227" w:type="dxa"/>
            <w:vAlign w:val="center"/>
          </w:tcPr>
          <w:p w14:paraId="5D13B2E7">
            <w:pPr>
              <w:pStyle w:val="164"/>
              <w:spacing w:after="0" w:line="240" w:lineRule="auto"/>
            </w:pPr>
            <w:r>
              <w:rPr>
                <w:b w:val="0"/>
                <w:sz w:val="15"/>
              </w:rPr>
              <w:t>VM, database and backup replication sized to meet agreed RPO/RTO and RFP synchronization targets.</w:t>
            </w:r>
          </w:p>
        </w:tc>
      </w:tr>
    </w:tbl>
    <w:p w14:paraId="49B308EA">
      <w:pPr>
        <w:spacing w:after="0"/>
      </w:pPr>
    </w:p>
    <w:p w14:paraId="3B0289FC">
      <w:pPr>
        <w:pStyle w:val="2"/>
      </w:pPr>
      <w:r>
        <w:t>4. Host and Workload Sizing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1"/>
      </w:tblGrid>
      <w:tr w14:paraId="6DCE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1" w:type="dxa"/>
            <w:shd w:val="clear" w:color="auto" w:fill="1F4E79"/>
            <w:vAlign w:val="center"/>
          </w:tcPr>
          <w:p w14:paraId="196D2469">
            <w:pPr>
              <w:pStyle w:val="164"/>
              <w:spacing w:after="0" w:line="240" w:lineRule="auto"/>
            </w:pPr>
            <w:r>
              <w:rPr>
                <w:b/>
                <w:color w:val="FFFFFF"/>
                <w:sz w:val="15"/>
              </w:rPr>
              <w:t>Site / Cluster</w:t>
            </w:r>
          </w:p>
        </w:tc>
        <w:tc>
          <w:tcPr>
            <w:tcW w:w="2091" w:type="dxa"/>
            <w:shd w:val="clear" w:color="auto" w:fill="1F4E79"/>
            <w:vAlign w:val="center"/>
          </w:tcPr>
          <w:p w14:paraId="142421EF">
            <w:pPr>
              <w:pStyle w:val="164"/>
              <w:spacing w:after="0" w:line="240" w:lineRule="auto"/>
            </w:pPr>
            <w:r>
              <w:rPr>
                <w:b/>
                <w:color w:val="FFFFFF"/>
                <w:sz w:val="15"/>
              </w:rPr>
              <w:t>Nodes</w:t>
            </w:r>
          </w:p>
        </w:tc>
        <w:tc>
          <w:tcPr>
            <w:tcW w:w="2091" w:type="dxa"/>
            <w:shd w:val="clear" w:color="auto" w:fill="1F4E79"/>
            <w:vAlign w:val="center"/>
          </w:tcPr>
          <w:p w14:paraId="3B592255">
            <w:pPr>
              <w:pStyle w:val="164"/>
              <w:spacing w:after="0" w:line="240" w:lineRule="auto"/>
            </w:pPr>
            <w:r>
              <w:rPr>
                <w:b/>
                <w:color w:val="FFFFFF"/>
                <w:sz w:val="15"/>
              </w:rPr>
              <w:t>Per-Node CPU</w:t>
            </w:r>
          </w:p>
        </w:tc>
        <w:tc>
          <w:tcPr>
            <w:tcW w:w="2091" w:type="dxa"/>
            <w:shd w:val="clear" w:color="auto" w:fill="1F4E79"/>
            <w:vAlign w:val="center"/>
          </w:tcPr>
          <w:p w14:paraId="75D09E39">
            <w:pPr>
              <w:pStyle w:val="164"/>
              <w:spacing w:after="0" w:line="240" w:lineRule="auto"/>
            </w:pPr>
            <w:r>
              <w:rPr>
                <w:b/>
                <w:color w:val="FFFFFF"/>
                <w:sz w:val="15"/>
              </w:rPr>
              <w:t>Per-Node RAM</w:t>
            </w:r>
          </w:p>
        </w:tc>
        <w:tc>
          <w:tcPr>
            <w:tcW w:w="2091" w:type="dxa"/>
            <w:shd w:val="clear" w:color="auto" w:fill="1F4E79"/>
            <w:vAlign w:val="center"/>
          </w:tcPr>
          <w:p w14:paraId="6F61A4E3">
            <w:pPr>
              <w:pStyle w:val="164"/>
              <w:spacing w:after="0" w:line="240" w:lineRule="auto"/>
            </w:pPr>
            <w:r>
              <w:rPr>
                <w:b/>
                <w:color w:val="FFFFFF"/>
                <w:sz w:val="15"/>
              </w:rPr>
              <w:t>Role</w:t>
            </w:r>
          </w:p>
        </w:tc>
      </w:tr>
      <w:tr w14:paraId="6732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1" w:type="dxa"/>
            <w:vAlign w:val="center"/>
          </w:tcPr>
          <w:p w14:paraId="368C6022">
            <w:pPr>
              <w:pStyle w:val="164"/>
              <w:spacing w:after="0" w:line="240" w:lineRule="auto"/>
            </w:pPr>
            <w:r>
              <w:rPr>
                <w:b w:val="0"/>
                <w:sz w:val="15"/>
              </w:rPr>
              <w:t>Primary - Application Cluster</w:t>
            </w:r>
          </w:p>
        </w:tc>
        <w:tc>
          <w:tcPr>
            <w:tcW w:w="2091" w:type="dxa"/>
            <w:vAlign w:val="center"/>
          </w:tcPr>
          <w:p w14:paraId="2D71ACD9">
            <w:pPr>
              <w:pStyle w:val="164"/>
              <w:spacing w:after="0" w:line="240" w:lineRule="auto"/>
            </w:pPr>
            <w:r>
              <w:rPr>
                <w:b w:val="0"/>
                <w:sz w:val="15"/>
              </w:rPr>
              <w:t>2</w:t>
            </w:r>
          </w:p>
        </w:tc>
        <w:tc>
          <w:tcPr>
            <w:tcW w:w="2091" w:type="dxa"/>
            <w:vAlign w:val="center"/>
          </w:tcPr>
          <w:p w14:paraId="5A3CF928">
            <w:pPr>
              <w:pStyle w:val="164"/>
              <w:spacing w:after="0" w:line="240" w:lineRule="auto"/>
            </w:pPr>
            <w:r>
              <w:rPr>
                <w:b w:val="0"/>
                <w:sz w:val="15"/>
              </w:rPr>
              <w:t>24 physical cores</w:t>
            </w:r>
          </w:p>
        </w:tc>
        <w:tc>
          <w:tcPr>
            <w:tcW w:w="2091" w:type="dxa"/>
            <w:vAlign w:val="center"/>
          </w:tcPr>
          <w:p w14:paraId="40C90E26">
            <w:pPr>
              <w:pStyle w:val="164"/>
              <w:spacing w:after="0" w:line="240" w:lineRule="auto"/>
            </w:pPr>
            <w:r>
              <w:rPr>
                <w:b w:val="0"/>
                <w:sz w:val="15"/>
              </w:rPr>
              <w:t>256 GB</w:t>
            </w:r>
          </w:p>
        </w:tc>
        <w:tc>
          <w:tcPr>
            <w:tcW w:w="2091" w:type="dxa"/>
            <w:vAlign w:val="center"/>
          </w:tcPr>
          <w:p w14:paraId="271DE597">
            <w:pPr>
              <w:pStyle w:val="164"/>
              <w:spacing w:after="0" w:line="240" w:lineRule="auto"/>
            </w:pPr>
            <w:r>
              <w:rPr>
                <w:b w:val="0"/>
                <w:sz w:val="15"/>
              </w:rPr>
              <w:t>Application, workflow, API/integration, reverse proxy, management, monitoring and approved non-production VMs.</w:t>
            </w:r>
          </w:p>
        </w:tc>
      </w:tr>
      <w:tr w14:paraId="1EB1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1" w:type="dxa"/>
            <w:vAlign w:val="center"/>
          </w:tcPr>
          <w:p w14:paraId="602C7666">
            <w:pPr>
              <w:pStyle w:val="164"/>
              <w:spacing w:after="0" w:line="240" w:lineRule="auto"/>
            </w:pPr>
            <w:r>
              <w:rPr>
                <w:b w:val="0"/>
                <w:sz w:val="15"/>
              </w:rPr>
              <w:t>Primary - Database Cluster</w:t>
            </w:r>
          </w:p>
        </w:tc>
        <w:tc>
          <w:tcPr>
            <w:tcW w:w="2091" w:type="dxa"/>
            <w:vAlign w:val="center"/>
          </w:tcPr>
          <w:p w14:paraId="1C9BCEDB">
            <w:pPr>
              <w:pStyle w:val="164"/>
              <w:spacing w:after="0" w:line="240" w:lineRule="auto"/>
            </w:pPr>
            <w:r>
              <w:rPr>
                <w:b w:val="0"/>
                <w:sz w:val="15"/>
              </w:rPr>
              <w:t>2</w:t>
            </w:r>
          </w:p>
        </w:tc>
        <w:tc>
          <w:tcPr>
            <w:tcW w:w="2091" w:type="dxa"/>
            <w:vAlign w:val="center"/>
          </w:tcPr>
          <w:p w14:paraId="01EF5EB8">
            <w:pPr>
              <w:pStyle w:val="164"/>
              <w:spacing w:after="0" w:line="240" w:lineRule="auto"/>
            </w:pPr>
            <w:r>
              <w:rPr>
                <w:b w:val="0"/>
                <w:sz w:val="15"/>
              </w:rPr>
              <w:t>24 physical cores</w:t>
            </w:r>
          </w:p>
        </w:tc>
        <w:tc>
          <w:tcPr>
            <w:tcW w:w="2091" w:type="dxa"/>
            <w:vAlign w:val="center"/>
          </w:tcPr>
          <w:p w14:paraId="6FDC3809">
            <w:pPr>
              <w:pStyle w:val="164"/>
              <w:spacing w:after="0" w:line="240" w:lineRule="auto"/>
            </w:pPr>
            <w:r>
              <w:rPr>
                <w:b w:val="0"/>
                <w:sz w:val="15"/>
              </w:rPr>
              <w:t>256 GB</w:t>
            </w:r>
          </w:p>
        </w:tc>
        <w:tc>
          <w:tcPr>
            <w:tcW w:w="2091" w:type="dxa"/>
            <w:vAlign w:val="center"/>
          </w:tcPr>
          <w:p w14:paraId="3F43DD8F">
            <w:pPr>
              <w:pStyle w:val="164"/>
              <w:spacing w:after="0" w:line="240" w:lineRule="auto"/>
            </w:pPr>
            <w:r>
              <w:rPr>
                <w:b w:val="0"/>
                <w:sz w:val="15"/>
              </w:rPr>
              <w:t>Production database VMs and database-related services.</w:t>
            </w:r>
          </w:p>
        </w:tc>
      </w:tr>
      <w:tr w14:paraId="1AF9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1" w:type="dxa"/>
            <w:vAlign w:val="center"/>
          </w:tcPr>
          <w:p w14:paraId="144B8952">
            <w:pPr>
              <w:pStyle w:val="164"/>
              <w:spacing w:after="0" w:line="240" w:lineRule="auto"/>
            </w:pPr>
            <w:r>
              <w:rPr>
                <w:b w:val="0"/>
                <w:sz w:val="15"/>
              </w:rPr>
              <w:t>DR - Consolidated Cluster</w:t>
            </w:r>
          </w:p>
        </w:tc>
        <w:tc>
          <w:tcPr>
            <w:tcW w:w="2091" w:type="dxa"/>
            <w:vAlign w:val="center"/>
          </w:tcPr>
          <w:p w14:paraId="72725BD9">
            <w:pPr>
              <w:pStyle w:val="164"/>
              <w:spacing w:after="0" w:line="240" w:lineRule="auto"/>
            </w:pPr>
            <w:r>
              <w:rPr>
                <w:b w:val="0"/>
                <w:sz w:val="15"/>
              </w:rPr>
              <w:t>2</w:t>
            </w:r>
          </w:p>
        </w:tc>
        <w:tc>
          <w:tcPr>
            <w:tcW w:w="2091" w:type="dxa"/>
            <w:vAlign w:val="center"/>
          </w:tcPr>
          <w:p w14:paraId="03AAF941">
            <w:pPr>
              <w:pStyle w:val="164"/>
              <w:spacing w:after="0" w:line="240" w:lineRule="auto"/>
            </w:pPr>
            <w:r>
              <w:rPr>
                <w:b w:val="0"/>
                <w:sz w:val="15"/>
              </w:rPr>
              <w:t>24 physical cores</w:t>
            </w:r>
          </w:p>
        </w:tc>
        <w:tc>
          <w:tcPr>
            <w:tcW w:w="2091" w:type="dxa"/>
            <w:vAlign w:val="center"/>
          </w:tcPr>
          <w:p w14:paraId="7A7FA40A">
            <w:pPr>
              <w:pStyle w:val="164"/>
              <w:spacing w:after="0" w:line="240" w:lineRule="auto"/>
            </w:pPr>
            <w:r>
              <w:rPr>
                <w:b w:val="0"/>
                <w:sz w:val="15"/>
              </w:rPr>
              <w:t>256 GB</w:t>
            </w:r>
          </w:p>
        </w:tc>
        <w:tc>
          <w:tcPr>
            <w:tcW w:w="2091" w:type="dxa"/>
            <w:vAlign w:val="center"/>
          </w:tcPr>
          <w:p w14:paraId="73FDB131">
            <w:pPr>
              <w:pStyle w:val="164"/>
              <w:spacing w:after="0" w:line="240" w:lineRule="auto"/>
            </w:pPr>
            <w:r>
              <w:rPr>
                <w:b w:val="0"/>
                <w:sz w:val="15"/>
              </w:rPr>
              <w:t>Recovery platform for both Application and Database workloads; non-production VMs as required.</w:t>
            </w:r>
          </w:p>
        </w:tc>
      </w:tr>
    </w:tbl>
    <w:p w14:paraId="057552F5">
      <w:pPr>
        <w:spacing w:after="0"/>
      </w:pPr>
    </w:p>
    <w:p w14:paraId="3B32AD53">
      <w:r>
        <w:t>Workload baseline: approximately 15 production VMs plus Development, Training and Test environments. Final placement must preserve sufficient failover headroom so that the surviving node of each two-node cluster can operate the critical workloads during a single-node outage. CPU, RAM, storage IOPS and network utilization must be validated during detailed sizing.</w:t>
      </w:r>
    </w:p>
    <w:p w14:paraId="0FCEC223">
      <w:pPr>
        <w:pStyle w:val="2"/>
      </w:pPr>
      <w:r>
        <w:t>5. Storage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7"/>
        <w:gridCol w:w="5227"/>
      </w:tblGrid>
      <w:tr w14:paraId="11D6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27" w:type="dxa"/>
            <w:shd w:val="clear" w:color="auto" w:fill="1F4E79"/>
            <w:vAlign w:val="center"/>
          </w:tcPr>
          <w:p w14:paraId="540DCD97">
            <w:pPr>
              <w:pStyle w:val="164"/>
              <w:spacing w:after="0" w:line="240" w:lineRule="auto"/>
            </w:pPr>
            <w:r>
              <w:rPr>
                <w:b/>
                <w:color w:val="FFFFFF"/>
                <w:sz w:val="15"/>
              </w:rPr>
              <w:t>Requirement / Design Point</w:t>
            </w:r>
          </w:p>
        </w:tc>
        <w:tc>
          <w:tcPr>
            <w:tcW w:w="5227" w:type="dxa"/>
            <w:shd w:val="clear" w:color="auto" w:fill="1F4E79"/>
            <w:vAlign w:val="center"/>
          </w:tcPr>
          <w:p w14:paraId="5BA8F1FD">
            <w:pPr>
              <w:pStyle w:val="164"/>
              <w:spacing w:after="0" w:line="240" w:lineRule="auto"/>
            </w:pPr>
            <w:r>
              <w:rPr>
                <w:b/>
                <w:color w:val="FFFFFF"/>
                <w:sz w:val="15"/>
              </w:rPr>
              <w:t>Proposed Response</w:t>
            </w:r>
          </w:p>
        </w:tc>
      </w:tr>
      <w:tr w14:paraId="6FE5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19F31F8E">
            <w:pPr>
              <w:pStyle w:val="164"/>
              <w:spacing w:after="0" w:line="240" w:lineRule="auto"/>
            </w:pPr>
            <w:r>
              <w:rPr>
                <w:b w:val="0"/>
                <w:sz w:val="15"/>
              </w:rPr>
              <w:t>Primary shared storage</w:t>
            </w:r>
          </w:p>
        </w:tc>
        <w:tc>
          <w:tcPr>
            <w:tcW w:w="5227" w:type="dxa"/>
            <w:vAlign w:val="center"/>
          </w:tcPr>
          <w:p w14:paraId="1A1FE5D9">
            <w:pPr>
              <w:pStyle w:val="164"/>
              <w:spacing w:after="0" w:line="240" w:lineRule="auto"/>
            </w:pPr>
            <w:r>
              <w:rPr>
                <w:b w:val="0"/>
                <w:sz w:val="15"/>
              </w:rPr>
              <w:t>&gt;=20 TB usable enterprise SAN, dual controller, redundant FC/iSCSI connectivity, snapshots/thin provisioning as supported, encryption at rest.</w:t>
            </w:r>
          </w:p>
        </w:tc>
      </w:tr>
      <w:tr w14:paraId="33E4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75DB0956">
            <w:pPr>
              <w:pStyle w:val="164"/>
              <w:spacing w:after="0" w:line="240" w:lineRule="auto"/>
            </w:pPr>
            <w:r>
              <w:rPr>
                <w:b w:val="0"/>
                <w:sz w:val="15"/>
              </w:rPr>
              <w:t>DR shared storage</w:t>
            </w:r>
          </w:p>
        </w:tc>
        <w:tc>
          <w:tcPr>
            <w:tcW w:w="5227" w:type="dxa"/>
            <w:vAlign w:val="center"/>
          </w:tcPr>
          <w:p w14:paraId="0A5A49BA">
            <w:pPr>
              <w:pStyle w:val="164"/>
              <w:spacing w:after="0" w:line="240" w:lineRule="auto"/>
            </w:pPr>
            <w:r>
              <w:rPr>
                <w:b w:val="0"/>
                <w:sz w:val="15"/>
              </w:rPr>
              <w:t>&gt;=20 TB usable enterprise SAN with equivalent resilience and independent controllers/paths.</w:t>
            </w:r>
          </w:p>
        </w:tc>
      </w:tr>
      <w:tr w14:paraId="6D75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D2E5A3E">
            <w:pPr>
              <w:pStyle w:val="164"/>
              <w:spacing w:after="0" w:line="240" w:lineRule="auto"/>
            </w:pPr>
            <w:r>
              <w:rPr>
                <w:b w:val="0"/>
                <w:sz w:val="15"/>
              </w:rPr>
              <w:t>Primary cluster access</w:t>
            </w:r>
          </w:p>
        </w:tc>
        <w:tc>
          <w:tcPr>
            <w:tcW w:w="5227" w:type="dxa"/>
            <w:vAlign w:val="center"/>
          </w:tcPr>
          <w:p w14:paraId="5067E5C7">
            <w:pPr>
              <w:pStyle w:val="164"/>
              <w:spacing w:after="0" w:line="240" w:lineRule="auto"/>
            </w:pPr>
            <w:r>
              <w:rPr>
                <w:b w:val="0"/>
                <w:sz w:val="15"/>
              </w:rPr>
              <w:t>Both the 2-node Application Cluster and 2-node Database Cluster share the same Primary SAN, using separate LUNs/CSV ownership and access controls as appropriate.</w:t>
            </w:r>
          </w:p>
        </w:tc>
      </w:tr>
      <w:tr w14:paraId="1011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2F43746C">
            <w:pPr>
              <w:pStyle w:val="164"/>
              <w:spacing w:after="0" w:line="240" w:lineRule="auto"/>
            </w:pPr>
            <w:r>
              <w:rPr>
                <w:b w:val="0"/>
                <w:sz w:val="15"/>
              </w:rPr>
              <w:t>DR cluster access</w:t>
            </w:r>
          </w:p>
        </w:tc>
        <w:tc>
          <w:tcPr>
            <w:tcW w:w="5227" w:type="dxa"/>
            <w:vAlign w:val="center"/>
          </w:tcPr>
          <w:p w14:paraId="6BA1BA31">
            <w:pPr>
              <w:pStyle w:val="164"/>
              <w:spacing w:after="0" w:line="240" w:lineRule="auto"/>
            </w:pPr>
            <w:r>
              <w:rPr>
                <w:b w:val="0"/>
                <w:sz w:val="15"/>
              </w:rPr>
              <w:t>The consolidated 2-node DR cluster accesses the DR SAN.</w:t>
            </w:r>
          </w:p>
        </w:tc>
      </w:tr>
      <w:tr w14:paraId="2773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79B9D012">
            <w:pPr>
              <w:pStyle w:val="164"/>
              <w:spacing w:after="0" w:line="240" w:lineRule="auto"/>
            </w:pPr>
            <w:r>
              <w:rPr>
                <w:b w:val="0"/>
                <w:sz w:val="15"/>
              </w:rPr>
              <w:t>Capacity basis</w:t>
            </w:r>
          </w:p>
        </w:tc>
        <w:tc>
          <w:tcPr>
            <w:tcW w:w="5227" w:type="dxa"/>
            <w:vAlign w:val="center"/>
          </w:tcPr>
          <w:p w14:paraId="74485B4F">
            <w:pPr>
              <w:pStyle w:val="164"/>
              <w:spacing w:after="0" w:line="240" w:lineRule="auto"/>
            </w:pPr>
            <w:r>
              <w:rPr>
                <w:b w:val="0"/>
                <w:sz w:val="15"/>
              </w:rPr>
              <w:t>20 TB is a proposed minimum usable figure, not an RFP-prescribed capacity. Raw capacity must additionally account for RAID/protection overhead, hot spares, metadata and vendor reserve.</w:t>
            </w:r>
          </w:p>
        </w:tc>
      </w:tr>
      <w:tr w14:paraId="4605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F18E91D">
            <w:pPr>
              <w:pStyle w:val="164"/>
              <w:spacing w:after="0" w:line="240" w:lineRule="auto"/>
            </w:pPr>
            <w:r>
              <w:rPr>
                <w:b w:val="0"/>
                <w:sz w:val="15"/>
              </w:rPr>
              <w:t>Performance basis</w:t>
            </w:r>
          </w:p>
        </w:tc>
        <w:tc>
          <w:tcPr>
            <w:tcW w:w="5227" w:type="dxa"/>
            <w:vAlign w:val="center"/>
          </w:tcPr>
          <w:p w14:paraId="61C71D22">
            <w:pPr>
              <w:pStyle w:val="164"/>
              <w:spacing w:after="0" w:line="240" w:lineRule="auto"/>
            </w:pPr>
            <w:r>
              <w:rPr>
                <w:b w:val="0"/>
                <w:sz w:val="15"/>
              </w:rPr>
              <w:t>Final disk/media tier, IOPS, latency, cache and connectivity must be sized against database/application vendor workload requirements.</w:t>
            </w:r>
          </w:p>
        </w:tc>
      </w:tr>
    </w:tbl>
    <w:p w14:paraId="0AF50F76">
      <w:pPr>
        <w:spacing w:after="0"/>
      </w:pPr>
    </w:p>
    <w:p w14:paraId="22462A24">
      <w:pPr>
        <w:pStyle w:val="2"/>
      </w:pPr>
      <w:r>
        <w:t>6. Network and Security-Zone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7"/>
        <w:gridCol w:w="5227"/>
      </w:tblGrid>
      <w:tr w14:paraId="70D7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27" w:type="dxa"/>
            <w:shd w:val="clear" w:color="auto" w:fill="1F4E79"/>
            <w:vAlign w:val="center"/>
          </w:tcPr>
          <w:p w14:paraId="505698D8">
            <w:pPr>
              <w:pStyle w:val="164"/>
              <w:spacing w:after="0" w:line="240" w:lineRule="auto"/>
            </w:pPr>
            <w:r>
              <w:rPr>
                <w:b/>
                <w:color w:val="FFFFFF"/>
                <w:sz w:val="15"/>
              </w:rPr>
              <w:t>Zone / Component</w:t>
            </w:r>
          </w:p>
        </w:tc>
        <w:tc>
          <w:tcPr>
            <w:tcW w:w="5227" w:type="dxa"/>
            <w:shd w:val="clear" w:color="auto" w:fill="1F4E79"/>
            <w:vAlign w:val="center"/>
          </w:tcPr>
          <w:p w14:paraId="2C1322E0">
            <w:pPr>
              <w:pStyle w:val="164"/>
              <w:spacing w:after="0" w:line="240" w:lineRule="auto"/>
            </w:pPr>
            <w:r>
              <w:rPr>
                <w:b/>
                <w:color w:val="FFFFFF"/>
                <w:sz w:val="15"/>
              </w:rPr>
              <w:t>Purpose / Proposed Implementation</w:t>
            </w:r>
          </w:p>
        </w:tc>
      </w:tr>
      <w:tr w14:paraId="71A0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227" w:type="dxa"/>
            <w:vAlign w:val="center"/>
          </w:tcPr>
          <w:p w14:paraId="47B1A192">
            <w:pPr>
              <w:pStyle w:val="164"/>
              <w:spacing w:after="0" w:line="240" w:lineRule="auto"/>
            </w:pPr>
            <w:r>
              <w:rPr>
                <w:b w:val="0"/>
                <w:sz w:val="15"/>
              </w:rPr>
              <w:t>Management</w:t>
            </w:r>
          </w:p>
        </w:tc>
        <w:tc>
          <w:tcPr>
            <w:tcW w:w="5227" w:type="dxa"/>
            <w:vAlign w:val="center"/>
          </w:tcPr>
          <w:p w14:paraId="72F73B7F">
            <w:pPr>
              <w:pStyle w:val="164"/>
              <w:spacing w:after="0" w:line="240" w:lineRule="auto"/>
            </w:pPr>
            <w:r>
              <w:rPr>
                <w:b w:val="0"/>
                <w:sz w:val="15"/>
              </w:rPr>
              <w:t>Infrastructure administration, monitoring and controlled backup management.</w:t>
            </w:r>
          </w:p>
        </w:tc>
      </w:tr>
      <w:tr w14:paraId="2C68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77E48939">
            <w:pPr>
              <w:pStyle w:val="164"/>
              <w:spacing w:after="0" w:line="240" w:lineRule="auto"/>
            </w:pPr>
            <w:r>
              <w:rPr>
                <w:b w:val="0"/>
                <w:sz w:val="15"/>
              </w:rPr>
              <w:t>User Network</w:t>
            </w:r>
          </w:p>
        </w:tc>
        <w:tc>
          <w:tcPr>
            <w:tcW w:w="5227" w:type="dxa"/>
            <w:vAlign w:val="center"/>
          </w:tcPr>
          <w:p w14:paraId="577CC34F">
            <w:pPr>
              <w:pStyle w:val="164"/>
              <w:spacing w:after="0" w:line="240" w:lineRule="auto"/>
            </w:pPr>
            <w:r>
              <w:rPr>
                <w:b w:val="0"/>
                <w:sz w:val="15"/>
              </w:rPr>
              <w:t>Operators, administrators and office users.</w:t>
            </w:r>
          </w:p>
        </w:tc>
      </w:tr>
      <w:tr w14:paraId="5903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5EDB979E">
            <w:pPr>
              <w:pStyle w:val="164"/>
              <w:spacing w:after="0" w:line="240" w:lineRule="auto"/>
            </w:pPr>
            <w:r>
              <w:rPr>
                <w:b w:val="0"/>
                <w:sz w:val="15"/>
              </w:rPr>
              <w:t>Machine Control</w:t>
            </w:r>
          </w:p>
        </w:tc>
        <w:tc>
          <w:tcPr>
            <w:tcW w:w="5227" w:type="dxa"/>
            <w:vAlign w:val="center"/>
          </w:tcPr>
          <w:p w14:paraId="7C81F08D">
            <w:pPr>
              <w:pStyle w:val="164"/>
              <w:spacing w:after="0" w:line="240" w:lineRule="auto"/>
            </w:pPr>
            <w:r>
              <w:rPr>
                <w:b w:val="0"/>
                <w:sz w:val="15"/>
              </w:rPr>
              <w:t>Personalization equipment and industrial control systems.</w:t>
            </w:r>
          </w:p>
        </w:tc>
      </w:tr>
      <w:tr w14:paraId="137C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82CE40A">
            <w:pPr>
              <w:pStyle w:val="164"/>
              <w:spacing w:after="0" w:line="240" w:lineRule="auto"/>
            </w:pPr>
            <w:r>
              <w:rPr>
                <w:b w:val="0"/>
                <w:sz w:val="15"/>
              </w:rPr>
              <w:t>Application</w:t>
            </w:r>
          </w:p>
        </w:tc>
        <w:tc>
          <w:tcPr>
            <w:tcW w:w="5227" w:type="dxa"/>
            <w:vAlign w:val="center"/>
          </w:tcPr>
          <w:p w14:paraId="420830C3">
            <w:pPr>
              <w:pStyle w:val="164"/>
              <w:spacing w:after="0" w:line="240" w:lineRule="auto"/>
            </w:pPr>
            <w:r>
              <w:rPr>
                <w:b w:val="0"/>
                <w:sz w:val="15"/>
              </w:rPr>
              <w:t>Application servers and services.</w:t>
            </w:r>
          </w:p>
        </w:tc>
      </w:tr>
      <w:tr w14:paraId="2A2F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227" w:type="dxa"/>
            <w:vAlign w:val="center"/>
          </w:tcPr>
          <w:p w14:paraId="58C1B6A9">
            <w:pPr>
              <w:pStyle w:val="164"/>
              <w:spacing w:after="0" w:line="240" w:lineRule="auto"/>
            </w:pPr>
            <w:r>
              <w:rPr>
                <w:b w:val="0"/>
                <w:sz w:val="15"/>
              </w:rPr>
              <w:t>Database</w:t>
            </w:r>
          </w:p>
        </w:tc>
        <w:tc>
          <w:tcPr>
            <w:tcW w:w="5227" w:type="dxa"/>
            <w:vAlign w:val="center"/>
          </w:tcPr>
          <w:p w14:paraId="4E947065">
            <w:pPr>
              <w:pStyle w:val="164"/>
              <w:spacing w:after="0" w:line="240" w:lineRule="auto"/>
            </w:pPr>
            <w:r>
              <w:rPr>
                <w:b w:val="0"/>
                <w:sz w:val="15"/>
              </w:rPr>
              <w:t>Database servers; restricted access from authorized application/management services.</w:t>
            </w:r>
          </w:p>
        </w:tc>
      </w:tr>
      <w:tr w14:paraId="42FD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F7FACF5">
            <w:pPr>
              <w:pStyle w:val="164"/>
              <w:spacing w:after="0" w:line="240" w:lineRule="auto"/>
            </w:pPr>
            <w:r>
              <w:rPr>
                <w:b w:val="0"/>
                <w:sz w:val="15"/>
              </w:rPr>
              <w:t>External Integration</w:t>
            </w:r>
          </w:p>
        </w:tc>
        <w:tc>
          <w:tcPr>
            <w:tcW w:w="5227" w:type="dxa"/>
            <w:vAlign w:val="center"/>
          </w:tcPr>
          <w:p w14:paraId="0B73B65D">
            <w:pPr>
              <w:pStyle w:val="164"/>
              <w:spacing w:after="0" w:line="240" w:lineRule="auto"/>
            </w:pPr>
            <w:r>
              <w:rPr>
                <w:b w:val="0"/>
                <w:sz w:val="15"/>
              </w:rPr>
              <w:t>NRIS and approved external-system integration.</w:t>
            </w:r>
          </w:p>
        </w:tc>
      </w:tr>
      <w:tr w14:paraId="4C93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12CA4BF">
            <w:pPr>
              <w:pStyle w:val="164"/>
              <w:spacing w:after="0" w:line="240" w:lineRule="auto"/>
            </w:pPr>
            <w:r>
              <w:rPr>
                <w:b w:val="0"/>
                <w:sz w:val="15"/>
              </w:rPr>
              <w:t>Storage</w:t>
            </w:r>
          </w:p>
        </w:tc>
        <w:tc>
          <w:tcPr>
            <w:tcW w:w="5227" w:type="dxa"/>
            <w:vAlign w:val="center"/>
          </w:tcPr>
          <w:p w14:paraId="73D63671">
            <w:pPr>
              <w:pStyle w:val="164"/>
              <w:spacing w:after="0" w:line="240" w:lineRule="auto"/>
            </w:pPr>
            <w:r>
              <w:rPr>
                <w:b w:val="0"/>
                <w:sz w:val="15"/>
              </w:rPr>
              <w:t>SAN / iSCSI / FC-related connectivity as applicable.</w:t>
            </w:r>
          </w:p>
        </w:tc>
      </w:tr>
      <w:tr w14:paraId="1102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727BDAB">
            <w:pPr>
              <w:pStyle w:val="164"/>
              <w:spacing w:after="0" w:line="240" w:lineRule="auto"/>
            </w:pPr>
            <w:r>
              <w:rPr>
                <w:b w:val="0"/>
                <w:sz w:val="15"/>
              </w:rPr>
              <w:t>Backup</w:t>
            </w:r>
          </w:p>
        </w:tc>
        <w:tc>
          <w:tcPr>
            <w:tcW w:w="5227" w:type="dxa"/>
            <w:vAlign w:val="center"/>
          </w:tcPr>
          <w:p w14:paraId="1A254850">
            <w:pPr>
              <w:pStyle w:val="164"/>
              <w:spacing w:after="0" w:line="240" w:lineRule="auto"/>
            </w:pPr>
            <w:r>
              <w:rPr>
                <w:b w:val="0"/>
                <w:sz w:val="15"/>
              </w:rPr>
              <w:t>Backup repository and backup/replication traffic.</w:t>
            </w:r>
          </w:p>
        </w:tc>
      </w:tr>
      <w:tr w14:paraId="40D4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901FF57">
            <w:pPr>
              <w:pStyle w:val="164"/>
              <w:spacing w:after="0" w:line="240" w:lineRule="auto"/>
            </w:pPr>
            <w:r>
              <w:rPr>
                <w:b w:val="0"/>
                <w:sz w:val="15"/>
              </w:rPr>
              <w:t>Monitoring</w:t>
            </w:r>
          </w:p>
        </w:tc>
        <w:tc>
          <w:tcPr>
            <w:tcW w:w="5227" w:type="dxa"/>
            <w:vAlign w:val="center"/>
          </w:tcPr>
          <w:p w14:paraId="0C65CEA3">
            <w:pPr>
              <w:pStyle w:val="164"/>
              <w:spacing w:after="0" w:line="240" w:lineRule="auto"/>
            </w:pPr>
            <w:r>
              <w:rPr>
                <w:b w:val="0"/>
                <w:sz w:val="15"/>
              </w:rPr>
              <w:t>Monitoring, logging and SIEM integration.</w:t>
            </w:r>
          </w:p>
        </w:tc>
      </w:tr>
      <w:tr w14:paraId="5561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8C48802">
            <w:pPr>
              <w:pStyle w:val="164"/>
              <w:spacing w:after="0" w:line="240" w:lineRule="auto"/>
            </w:pPr>
            <w:r>
              <w:rPr>
                <w:b w:val="0"/>
                <w:sz w:val="15"/>
              </w:rPr>
              <w:t>DMZ</w:t>
            </w:r>
          </w:p>
        </w:tc>
        <w:tc>
          <w:tcPr>
            <w:tcW w:w="5227" w:type="dxa"/>
            <w:vAlign w:val="center"/>
          </w:tcPr>
          <w:p w14:paraId="3210639E">
            <w:pPr>
              <w:pStyle w:val="164"/>
              <w:spacing w:after="0" w:line="240" w:lineRule="auto"/>
            </w:pPr>
            <w:r>
              <w:rPr>
                <w:b w:val="0"/>
                <w:sz w:val="15"/>
              </w:rPr>
              <w:t>Reverse proxy, API and externally exposed integration services.</w:t>
            </w:r>
          </w:p>
        </w:tc>
      </w:tr>
    </w:tbl>
    <w:p w14:paraId="3B592B37">
      <w:pPr>
        <w:spacing w:after="0"/>
      </w:pPr>
    </w:p>
    <w:p w14:paraId="4BF7A7FC">
      <w:r>
        <w:t>The RFP explicitly calls for External Integration, DMZ, Application, Database, Machine Control and Management &amp; Monitoring zones, together with VLAN segmentation, firewall isolation, secure remote administration and encrypted communications (Section VII, approximately pp. 141-142).</w:t>
      </w:r>
    </w:p>
    <w:p w14:paraId="16FCC710">
      <w:pPr>
        <w:pStyle w:val="2"/>
      </w:pPr>
      <w:r>
        <w:t>7. Backup and Recovery Solution</w:t>
      </w:r>
    </w:p>
    <w:p w14:paraId="5FB65D5E">
      <w:r>
        <w:t>The RFP requires automated scheduled backups of databases, configuration files, application systems and audit logs; full, incremental and differential backup capability; encrypted backup storage; backup validation/integrity checks; off-site backup replication; immutable backup storage for anti-ransomware protection; centralized management; configurable retention; monitoring; and failure notification (Section VII, Software and Data Back-up and Recovery, approximately pp. 145-146).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5"/>
        <w:gridCol w:w="3485"/>
        <w:gridCol w:w="3485"/>
      </w:tblGrid>
      <w:tr w14:paraId="4198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85" w:type="dxa"/>
            <w:shd w:val="clear" w:color="auto" w:fill="1F4E79"/>
            <w:vAlign w:val="center"/>
          </w:tcPr>
          <w:p w14:paraId="0D689A5D">
            <w:pPr>
              <w:pStyle w:val="164"/>
              <w:spacing w:after="0" w:line="240" w:lineRule="auto"/>
            </w:pPr>
            <w:r>
              <w:rPr>
                <w:b/>
                <w:color w:val="FFFFFF"/>
                <w:sz w:val="15"/>
              </w:rPr>
              <w:t>RFP Backup Requirement</w:t>
            </w:r>
          </w:p>
        </w:tc>
        <w:tc>
          <w:tcPr>
            <w:tcW w:w="3485" w:type="dxa"/>
            <w:shd w:val="clear" w:color="auto" w:fill="1F4E79"/>
            <w:vAlign w:val="center"/>
          </w:tcPr>
          <w:p w14:paraId="1B6650AD">
            <w:pPr>
              <w:pStyle w:val="164"/>
              <w:spacing w:after="0" w:line="240" w:lineRule="auto"/>
            </w:pPr>
            <w:r>
              <w:rPr>
                <w:b/>
                <w:color w:val="FFFFFF"/>
                <w:sz w:val="15"/>
              </w:rPr>
              <w:t>Proposed Implementation</w:t>
            </w:r>
          </w:p>
        </w:tc>
        <w:tc>
          <w:tcPr>
            <w:tcW w:w="3485" w:type="dxa"/>
            <w:shd w:val="clear" w:color="auto" w:fill="1F4E79"/>
            <w:vAlign w:val="center"/>
          </w:tcPr>
          <w:p w14:paraId="26732E6C">
            <w:pPr>
              <w:pStyle w:val="164"/>
              <w:spacing w:after="0" w:line="240" w:lineRule="auto"/>
            </w:pPr>
            <w:r>
              <w:rPr>
                <w:b/>
                <w:color w:val="FFFFFF"/>
                <w:sz w:val="15"/>
              </w:rPr>
              <w:t>Status</w:t>
            </w:r>
          </w:p>
        </w:tc>
      </w:tr>
      <w:tr w14:paraId="2422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4218B064">
            <w:pPr>
              <w:pStyle w:val="164"/>
              <w:spacing w:after="0" w:line="240" w:lineRule="auto"/>
            </w:pPr>
            <w:r>
              <w:rPr>
                <w:b w:val="0"/>
                <w:sz w:val="15"/>
              </w:rPr>
              <w:t>Automated scheduled backups</w:t>
            </w:r>
          </w:p>
        </w:tc>
        <w:tc>
          <w:tcPr>
            <w:tcW w:w="3485" w:type="dxa"/>
            <w:vAlign w:val="center"/>
          </w:tcPr>
          <w:p w14:paraId="7E0E157A">
            <w:pPr>
              <w:pStyle w:val="164"/>
              <w:spacing w:after="0" w:line="240" w:lineRule="auto"/>
            </w:pPr>
            <w:r>
              <w:rPr>
                <w:b w:val="0"/>
                <w:sz w:val="15"/>
              </w:rPr>
              <w:t>Veeam Backup &amp; Replication policies for production and approved non-production workloads.</w:t>
            </w:r>
          </w:p>
        </w:tc>
        <w:tc>
          <w:tcPr>
            <w:tcW w:w="3485" w:type="dxa"/>
            <w:shd w:val="clear" w:color="auto" w:fill="E2F0D9"/>
            <w:vAlign w:val="center"/>
          </w:tcPr>
          <w:p w14:paraId="19886296">
            <w:pPr>
              <w:pStyle w:val="164"/>
              <w:spacing w:after="0" w:line="240" w:lineRule="auto"/>
            </w:pPr>
            <w:r>
              <w:rPr>
                <w:b w:val="0"/>
                <w:sz w:val="15"/>
              </w:rPr>
              <w:t>Covered</w:t>
            </w:r>
          </w:p>
        </w:tc>
      </w:tr>
      <w:tr w14:paraId="2720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07D7C26">
            <w:pPr>
              <w:pStyle w:val="164"/>
              <w:spacing w:after="0" w:line="240" w:lineRule="auto"/>
            </w:pPr>
            <w:r>
              <w:rPr>
                <w:b w:val="0"/>
                <w:sz w:val="15"/>
              </w:rPr>
              <w:t>Database, configuration, application and audit-log backup</w:t>
            </w:r>
          </w:p>
        </w:tc>
        <w:tc>
          <w:tcPr>
            <w:tcW w:w="3485" w:type="dxa"/>
            <w:vAlign w:val="center"/>
          </w:tcPr>
          <w:p w14:paraId="1CE4AECC">
            <w:pPr>
              <w:pStyle w:val="164"/>
              <w:spacing w:after="0" w:line="240" w:lineRule="auto"/>
            </w:pPr>
            <w:r>
              <w:rPr>
                <w:b w:val="0"/>
                <w:sz w:val="15"/>
              </w:rPr>
              <w:t>Protected through image-level and application/database-aware methods as appropriate.</w:t>
            </w:r>
          </w:p>
        </w:tc>
        <w:tc>
          <w:tcPr>
            <w:tcW w:w="3485" w:type="dxa"/>
            <w:shd w:val="clear" w:color="auto" w:fill="FFF2CC"/>
            <w:vAlign w:val="center"/>
          </w:tcPr>
          <w:p w14:paraId="6DFA05AD">
            <w:pPr>
              <w:pStyle w:val="164"/>
              <w:spacing w:after="0" w:line="240" w:lineRule="auto"/>
            </w:pPr>
            <w:r>
              <w:rPr>
                <w:b w:val="0"/>
                <w:sz w:val="15"/>
              </w:rPr>
              <w:t>Covered - final design</w:t>
            </w:r>
          </w:p>
        </w:tc>
      </w:tr>
      <w:tr w14:paraId="78D2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EFE66DC">
            <w:pPr>
              <w:pStyle w:val="164"/>
              <w:spacing w:after="0" w:line="240" w:lineRule="auto"/>
            </w:pPr>
            <w:r>
              <w:rPr>
                <w:b w:val="0"/>
                <w:sz w:val="15"/>
              </w:rPr>
              <w:t>Full, incremental and differential capability</w:t>
            </w:r>
          </w:p>
        </w:tc>
        <w:tc>
          <w:tcPr>
            <w:tcW w:w="3485" w:type="dxa"/>
            <w:vAlign w:val="center"/>
          </w:tcPr>
          <w:p w14:paraId="03032E64">
            <w:pPr>
              <w:pStyle w:val="164"/>
              <w:spacing w:after="0" w:line="240" w:lineRule="auto"/>
            </w:pPr>
            <w:r>
              <w:rPr>
                <w:b w:val="0"/>
                <w:sz w:val="15"/>
              </w:rPr>
              <w:t>Veeam and/or database-native policy mapped to the exact workload requirement.</w:t>
            </w:r>
          </w:p>
        </w:tc>
        <w:tc>
          <w:tcPr>
            <w:tcW w:w="3485" w:type="dxa"/>
            <w:shd w:val="clear" w:color="auto" w:fill="FFF2CC"/>
            <w:vAlign w:val="center"/>
          </w:tcPr>
          <w:p w14:paraId="4DB704AF">
            <w:pPr>
              <w:pStyle w:val="164"/>
              <w:spacing w:after="0" w:line="240" w:lineRule="auto"/>
            </w:pPr>
            <w:r>
              <w:rPr>
                <w:b w:val="0"/>
                <w:sz w:val="15"/>
              </w:rPr>
              <w:t>Covered - final design</w:t>
            </w:r>
          </w:p>
        </w:tc>
      </w:tr>
      <w:tr w14:paraId="0405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771EF7B7">
            <w:pPr>
              <w:pStyle w:val="164"/>
              <w:spacing w:after="0" w:line="240" w:lineRule="auto"/>
            </w:pPr>
            <w:r>
              <w:rPr>
                <w:b w:val="0"/>
                <w:sz w:val="15"/>
              </w:rPr>
              <w:t>Encrypted backup storage</w:t>
            </w:r>
          </w:p>
        </w:tc>
        <w:tc>
          <w:tcPr>
            <w:tcW w:w="3485" w:type="dxa"/>
            <w:vAlign w:val="center"/>
          </w:tcPr>
          <w:p w14:paraId="2F856B39">
            <w:pPr>
              <w:pStyle w:val="164"/>
              <w:spacing w:after="0" w:line="240" w:lineRule="auto"/>
            </w:pPr>
            <w:r>
              <w:rPr>
                <w:b w:val="0"/>
                <w:sz w:val="15"/>
              </w:rPr>
              <w:t>Encrypted backup jobs/repositories and encrypted replication.</w:t>
            </w:r>
          </w:p>
        </w:tc>
        <w:tc>
          <w:tcPr>
            <w:tcW w:w="3485" w:type="dxa"/>
            <w:shd w:val="clear" w:color="auto" w:fill="E2F0D9"/>
            <w:vAlign w:val="center"/>
          </w:tcPr>
          <w:p w14:paraId="0CB13C91">
            <w:pPr>
              <w:pStyle w:val="164"/>
              <w:spacing w:after="0" w:line="240" w:lineRule="auto"/>
            </w:pPr>
            <w:r>
              <w:rPr>
                <w:b w:val="0"/>
                <w:sz w:val="15"/>
              </w:rPr>
              <w:t>Covered</w:t>
            </w:r>
          </w:p>
        </w:tc>
      </w:tr>
      <w:tr w14:paraId="7D2B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B024741">
            <w:pPr>
              <w:pStyle w:val="164"/>
              <w:spacing w:after="0" w:line="240" w:lineRule="auto"/>
            </w:pPr>
            <w:r>
              <w:rPr>
                <w:b w:val="0"/>
                <w:sz w:val="15"/>
              </w:rPr>
              <w:t>Backup validation/integrity checks</w:t>
            </w:r>
          </w:p>
        </w:tc>
        <w:tc>
          <w:tcPr>
            <w:tcW w:w="3485" w:type="dxa"/>
            <w:vAlign w:val="center"/>
          </w:tcPr>
          <w:p w14:paraId="6F40408C">
            <w:pPr>
              <w:pStyle w:val="164"/>
              <w:spacing w:after="0" w:line="240" w:lineRule="auto"/>
            </w:pPr>
            <w:r>
              <w:rPr>
                <w:b w:val="0"/>
                <w:sz w:val="15"/>
              </w:rPr>
              <w:t>Scheduled verification and restore testing.</w:t>
            </w:r>
          </w:p>
        </w:tc>
        <w:tc>
          <w:tcPr>
            <w:tcW w:w="3485" w:type="dxa"/>
            <w:shd w:val="clear" w:color="auto" w:fill="E2F0D9"/>
            <w:vAlign w:val="center"/>
          </w:tcPr>
          <w:p w14:paraId="6BA43889">
            <w:pPr>
              <w:pStyle w:val="164"/>
              <w:spacing w:after="0" w:line="240" w:lineRule="auto"/>
            </w:pPr>
            <w:r>
              <w:rPr>
                <w:b w:val="0"/>
                <w:sz w:val="15"/>
              </w:rPr>
              <w:t>Covered</w:t>
            </w:r>
          </w:p>
        </w:tc>
      </w:tr>
      <w:tr w14:paraId="1435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2855863">
            <w:pPr>
              <w:pStyle w:val="164"/>
              <w:spacing w:after="0" w:line="240" w:lineRule="auto"/>
            </w:pPr>
            <w:r>
              <w:rPr>
                <w:b w:val="0"/>
                <w:sz w:val="15"/>
              </w:rPr>
              <w:t>Off-site backup replication</w:t>
            </w:r>
          </w:p>
        </w:tc>
        <w:tc>
          <w:tcPr>
            <w:tcW w:w="3485" w:type="dxa"/>
            <w:vAlign w:val="center"/>
          </w:tcPr>
          <w:p w14:paraId="51DF1329">
            <w:pPr>
              <w:pStyle w:val="164"/>
              <w:spacing w:after="0" w:line="240" w:lineRule="auto"/>
            </w:pPr>
            <w:r>
              <w:rPr>
                <w:b w:val="0"/>
                <w:sz w:val="15"/>
              </w:rPr>
              <w:t>Encrypted backup copy from Primary to DR/off-site repository.</w:t>
            </w:r>
          </w:p>
        </w:tc>
        <w:tc>
          <w:tcPr>
            <w:tcW w:w="3485" w:type="dxa"/>
            <w:shd w:val="clear" w:color="auto" w:fill="E2F0D9"/>
            <w:vAlign w:val="center"/>
          </w:tcPr>
          <w:p w14:paraId="312EE787">
            <w:pPr>
              <w:pStyle w:val="164"/>
              <w:spacing w:after="0" w:line="240" w:lineRule="auto"/>
            </w:pPr>
            <w:r>
              <w:rPr>
                <w:b w:val="0"/>
                <w:sz w:val="15"/>
              </w:rPr>
              <w:t>Covered</w:t>
            </w:r>
          </w:p>
        </w:tc>
      </w:tr>
      <w:tr w14:paraId="6050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018C9547">
            <w:pPr>
              <w:pStyle w:val="164"/>
              <w:spacing w:after="0" w:line="240" w:lineRule="auto"/>
            </w:pPr>
            <w:r>
              <w:rPr>
                <w:b w:val="0"/>
                <w:sz w:val="15"/>
              </w:rPr>
              <w:t>Immutable backup storage</w:t>
            </w:r>
          </w:p>
        </w:tc>
        <w:tc>
          <w:tcPr>
            <w:tcW w:w="3485" w:type="dxa"/>
            <w:vAlign w:val="center"/>
          </w:tcPr>
          <w:p w14:paraId="697768E0">
            <w:pPr>
              <w:pStyle w:val="164"/>
              <w:spacing w:after="0" w:line="240" w:lineRule="auto"/>
            </w:pPr>
            <w:r>
              <w:rPr>
                <w:b w:val="0"/>
                <w:sz w:val="15"/>
              </w:rPr>
              <w:t>Immutable anti-ransomware storage included at Primary and DR in our proposed design.</w:t>
            </w:r>
          </w:p>
        </w:tc>
        <w:tc>
          <w:tcPr>
            <w:tcW w:w="3485" w:type="dxa"/>
            <w:shd w:val="clear" w:color="auto" w:fill="E2F0D9"/>
            <w:vAlign w:val="center"/>
          </w:tcPr>
          <w:p w14:paraId="3926BDED">
            <w:pPr>
              <w:pStyle w:val="164"/>
              <w:spacing w:after="0" w:line="240" w:lineRule="auto"/>
            </w:pPr>
            <w:r>
              <w:rPr>
                <w:b w:val="0"/>
                <w:sz w:val="15"/>
              </w:rPr>
              <w:t>Covered</w:t>
            </w:r>
          </w:p>
        </w:tc>
      </w:tr>
      <w:tr w14:paraId="6A9B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4D9ED1C1">
            <w:pPr>
              <w:pStyle w:val="164"/>
              <w:spacing w:after="0" w:line="240" w:lineRule="auto"/>
            </w:pPr>
            <w:r>
              <w:rPr>
                <w:b w:val="0"/>
                <w:sz w:val="15"/>
              </w:rPr>
              <w:t>Centralized management</w:t>
            </w:r>
          </w:p>
        </w:tc>
        <w:tc>
          <w:tcPr>
            <w:tcW w:w="3485" w:type="dxa"/>
            <w:vAlign w:val="center"/>
          </w:tcPr>
          <w:p w14:paraId="178A84E1">
            <w:pPr>
              <w:pStyle w:val="164"/>
              <w:spacing w:after="0" w:line="240" w:lineRule="auto"/>
            </w:pPr>
            <w:r>
              <w:rPr>
                <w:b w:val="0"/>
                <w:sz w:val="15"/>
              </w:rPr>
              <w:t>Veeam Backup Server / management console.</w:t>
            </w:r>
          </w:p>
        </w:tc>
        <w:tc>
          <w:tcPr>
            <w:tcW w:w="3485" w:type="dxa"/>
            <w:shd w:val="clear" w:color="auto" w:fill="E2F0D9"/>
            <w:vAlign w:val="center"/>
          </w:tcPr>
          <w:p w14:paraId="5EEABD23">
            <w:pPr>
              <w:pStyle w:val="164"/>
              <w:spacing w:after="0" w:line="240" w:lineRule="auto"/>
            </w:pPr>
            <w:r>
              <w:rPr>
                <w:b w:val="0"/>
                <w:sz w:val="15"/>
              </w:rPr>
              <w:t>Covered</w:t>
            </w:r>
          </w:p>
        </w:tc>
      </w:tr>
      <w:tr w14:paraId="407D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72A72DA4">
            <w:pPr>
              <w:pStyle w:val="164"/>
              <w:spacing w:after="0" w:line="240" w:lineRule="auto"/>
            </w:pPr>
            <w:r>
              <w:rPr>
                <w:b w:val="0"/>
                <w:sz w:val="15"/>
              </w:rPr>
              <w:t>Daily/weekly/monthly/yearly retention</w:t>
            </w:r>
          </w:p>
        </w:tc>
        <w:tc>
          <w:tcPr>
            <w:tcW w:w="3485" w:type="dxa"/>
            <w:vAlign w:val="center"/>
          </w:tcPr>
          <w:p w14:paraId="3221A71B">
            <w:pPr>
              <w:pStyle w:val="164"/>
              <w:spacing w:after="0" w:line="240" w:lineRule="auto"/>
            </w:pPr>
            <w:r>
              <w:rPr>
                <w:b w:val="0"/>
                <w:sz w:val="15"/>
              </w:rPr>
              <w:t>Configurable Veeam retention/GFS policy.</w:t>
            </w:r>
          </w:p>
        </w:tc>
        <w:tc>
          <w:tcPr>
            <w:tcW w:w="3485" w:type="dxa"/>
            <w:shd w:val="clear" w:color="auto" w:fill="E2F0D9"/>
            <w:vAlign w:val="center"/>
          </w:tcPr>
          <w:p w14:paraId="4B4CDC32">
            <w:pPr>
              <w:pStyle w:val="164"/>
              <w:spacing w:after="0" w:line="240" w:lineRule="auto"/>
            </w:pPr>
            <w:r>
              <w:rPr>
                <w:b w:val="0"/>
                <w:sz w:val="15"/>
              </w:rPr>
              <w:t>Covered</w:t>
            </w:r>
          </w:p>
        </w:tc>
      </w:tr>
      <w:tr w14:paraId="6458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EFD4F9A">
            <w:pPr>
              <w:pStyle w:val="164"/>
              <w:spacing w:after="0" w:line="240" w:lineRule="auto"/>
            </w:pPr>
            <w:r>
              <w:rPr>
                <w:b w:val="0"/>
                <w:sz w:val="15"/>
              </w:rPr>
              <w:t>Monitoring and failure notification</w:t>
            </w:r>
          </w:p>
        </w:tc>
        <w:tc>
          <w:tcPr>
            <w:tcW w:w="3485" w:type="dxa"/>
            <w:vAlign w:val="center"/>
          </w:tcPr>
          <w:p w14:paraId="3F559D17">
            <w:pPr>
              <w:pStyle w:val="164"/>
              <w:spacing w:after="0" w:line="240" w:lineRule="auto"/>
            </w:pPr>
            <w:r>
              <w:rPr>
                <w:b w:val="0"/>
                <w:sz w:val="15"/>
              </w:rPr>
              <w:t>Veeam alerts integrated with monitoring/SIEM as required.</w:t>
            </w:r>
          </w:p>
        </w:tc>
        <w:tc>
          <w:tcPr>
            <w:tcW w:w="3485" w:type="dxa"/>
            <w:shd w:val="clear" w:color="auto" w:fill="E2F0D9"/>
            <w:vAlign w:val="center"/>
          </w:tcPr>
          <w:p w14:paraId="61A57A7A">
            <w:pPr>
              <w:pStyle w:val="164"/>
              <w:spacing w:after="0" w:line="240" w:lineRule="auto"/>
            </w:pPr>
            <w:r>
              <w:rPr>
                <w:b w:val="0"/>
                <w:sz w:val="15"/>
              </w:rPr>
              <w:t>Covered</w:t>
            </w:r>
          </w:p>
        </w:tc>
      </w:tr>
    </w:tbl>
    <w:p w14:paraId="0B178D49">
      <w:pPr>
        <w:spacing w:after="0"/>
      </w:pPr>
    </w:p>
    <w:p w14:paraId="1BB18F37">
      <w:r>
        <w:t>Important distinction: the RFP requires off-site backup storage and immutable backup capability, but does not prescribe backup repository capacity in TB and does not explicitly mandate one physical repository plus one immutable appliance at each site. Providing encrypted and immutable backup infrastructure at both Primary and DR is our proposed resilience enhancement.</w:t>
      </w:r>
    </w:p>
    <w:p w14:paraId="72C53A0A">
      <w:pPr>
        <w:pStyle w:val="2"/>
      </w:pPr>
      <w:r>
        <w:t>8. Disaster Recovery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7"/>
        <w:gridCol w:w="5227"/>
      </w:tblGrid>
      <w:tr w14:paraId="6833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227" w:type="dxa"/>
            <w:shd w:val="clear" w:color="auto" w:fill="1F4E79"/>
            <w:vAlign w:val="center"/>
          </w:tcPr>
          <w:p w14:paraId="0DDBE318">
            <w:pPr>
              <w:pStyle w:val="164"/>
              <w:spacing w:after="0" w:line="240" w:lineRule="auto"/>
            </w:pPr>
            <w:r>
              <w:rPr>
                <w:b/>
                <w:color w:val="FFFFFF"/>
                <w:sz w:val="15"/>
              </w:rPr>
              <w:t>RFP DR Requirement</w:t>
            </w:r>
          </w:p>
        </w:tc>
        <w:tc>
          <w:tcPr>
            <w:tcW w:w="5227" w:type="dxa"/>
            <w:shd w:val="clear" w:color="auto" w:fill="1F4E79"/>
            <w:vAlign w:val="center"/>
          </w:tcPr>
          <w:p w14:paraId="7EABF8DB">
            <w:pPr>
              <w:pStyle w:val="164"/>
              <w:spacing w:after="0" w:line="240" w:lineRule="auto"/>
            </w:pPr>
            <w:r>
              <w:rPr>
                <w:b/>
                <w:color w:val="FFFFFF"/>
                <w:sz w:val="15"/>
              </w:rPr>
              <w:t>Proposed Response</w:t>
            </w:r>
          </w:p>
        </w:tc>
      </w:tr>
      <w:tr w14:paraId="207B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528A35ED">
            <w:pPr>
              <w:pStyle w:val="164"/>
              <w:spacing w:after="0" w:line="240" w:lineRule="auto"/>
            </w:pPr>
            <w:r>
              <w:rPr>
                <w:b w:val="0"/>
                <w:sz w:val="15"/>
              </w:rPr>
              <w:t>Primary production environment</w:t>
            </w:r>
          </w:p>
        </w:tc>
        <w:tc>
          <w:tcPr>
            <w:tcW w:w="5227" w:type="dxa"/>
            <w:vAlign w:val="center"/>
          </w:tcPr>
          <w:p w14:paraId="482CB6B6">
            <w:pPr>
              <w:pStyle w:val="164"/>
              <w:spacing w:after="0" w:line="240" w:lineRule="auto"/>
            </w:pPr>
            <w:r>
              <w:rPr>
                <w:b w:val="0"/>
                <w:sz w:val="15"/>
              </w:rPr>
              <w:t>Four-node Primary design: 2 App + 2 DB nodes with shared SAN.</w:t>
            </w:r>
          </w:p>
        </w:tc>
      </w:tr>
      <w:tr w14:paraId="0F2C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143062AE">
            <w:pPr>
              <w:pStyle w:val="164"/>
              <w:spacing w:after="0" w:line="240" w:lineRule="auto"/>
            </w:pPr>
            <w:r>
              <w:rPr>
                <w:b w:val="0"/>
                <w:sz w:val="15"/>
              </w:rPr>
              <w:t>Secondary DR environment</w:t>
            </w:r>
          </w:p>
        </w:tc>
        <w:tc>
          <w:tcPr>
            <w:tcW w:w="5227" w:type="dxa"/>
            <w:vAlign w:val="center"/>
          </w:tcPr>
          <w:p w14:paraId="6A6BA772">
            <w:pPr>
              <w:pStyle w:val="164"/>
              <w:spacing w:after="0" w:line="240" w:lineRule="auto"/>
            </w:pPr>
            <w:r>
              <w:rPr>
                <w:b w:val="0"/>
                <w:sz w:val="15"/>
              </w:rPr>
              <w:t>Two-node consolidated DR Hyper-V cluster with independent SAN.</w:t>
            </w:r>
          </w:p>
        </w:tc>
      </w:tr>
      <w:tr w14:paraId="3D3C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5062B01D">
            <w:pPr>
              <w:pStyle w:val="164"/>
              <w:spacing w:after="0" w:line="240" w:lineRule="auto"/>
            </w:pPr>
            <w:r>
              <w:rPr>
                <w:b w:val="0"/>
                <w:sz w:val="15"/>
              </w:rPr>
              <w:t>Backup replication infrastructure</w:t>
            </w:r>
          </w:p>
        </w:tc>
        <w:tc>
          <w:tcPr>
            <w:tcW w:w="5227" w:type="dxa"/>
            <w:vAlign w:val="center"/>
          </w:tcPr>
          <w:p w14:paraId="546B3005">
            <w:pPr>
              <w:pStyle w:val="164"/>
              <w:spacing w:after="0" w:line="240" w:lineRule="auto"/>
            </w:pPr>
            <w:r>
              <w:rPr>
                <w:b w:val="0"/>
                <w:sz w:val="15"/>
              </w:rPr>
              <w:t>Veeam encrypted backup copy/replication.</w:t>
            </w:r>
          </w:p>
        </w:tc>
      </w:tr>
      <w:tr w14:paraId="47DB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56E68121">
            <w:pPr>
              <w:pStyle w:val="164"/>
              <w:spacing w:after="0" w:line="240" w:lineRule="auto"/>
            </w:pPr>
            <w:r>
              <w:rPr>
                <w:b w:val="0"/>
                <w:sz w:val="15"/>
              </w:rPr>
              <w:t>Off-site backup storage</w:t>
            </w:r>
          </w:p>
        </w:tc>
        <w:tc>
          <w:tcPr>
            <w:tcW w:w="5227" w:type="dxa"/>
            <w:vAlign w:val="center"/>
          </w:tcPr>
          <w:p w14:paraId="2DB5E1BE">
            <w:pPr>
              <w:pStyle w:val="164"/>
              <w:spacing w:after="0" w:line="240" w:lineRule="auto"/>
            </w:pPr>
            <w:r>
              <w:rPr>
                <w:b w:val="0"/>
                <w:sz w:val="15"/>
              </w:rPr>
              <w:t>DR backup repository serves as off-site copy relative to Primary.</w:t>
            </w:r>
          </w:p>
        </w:tc>
      </w:tr>
      <w:tr w14:paraId="183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0A2B412A">
            <w:pPr>
              <w:pStyle w:val="164"/>
              <w:spacing w:after="0" w:line="240" w:lineRule="auto"/>
            </w:pPr>
            <w:r>
              <w:rPr>
                <w:b w:val="0"/>
                <w:sz w:val="15"/>
              </w:rPr>
              <w:t>DR synchronization</w:t>
            </w:r>
          </w:p>
        </w:tc>
        <w:tc>
          <w:tcPr>
            <w:tcW w:w="5227" w:type="dxa"/>
            <w:vAlign w:val="center"/>
          </w:tcPr>
          <w:p w14:paraId="1FE91C62">
            <w:pPr>
              <w:pStyle w:val="164"/>
              <w:spacing w:after="0" w:line="240" w:lineRule="auto"/>
            </w:pPr>
            <w:r>
              <w:rPr>
                <w:b w:val="0"/>
                <w:sz w:val="15"/>
              </w:rPr>
              <w:t>VM replication and/or database/application-native replication according to workload.</w:t>
            </w:r>
          </w:p>
        </w:tc>
      </w:tr>
      <w:tr w14:paraId="0001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3CF994D5">
            <w:pPr>
              <w:pStyle w:val="164"/>
              <w:spacing w:after="0" w:line="240" w:lineRule="auto"/>
            </w:pPr>
            <w:r>
              <w:rPr>
                <w:b w:val="0"/>
                <w:sz w:val="15"/>
              </w:rPr>
              <w:t>Hot/warm standby as applicable</w:t>
            </w:r>
          </w:p>
        </w:tc>
        <w:tc>
          <w:tcPr>
            <w:tcW w:w="5227" w:type="dxa"/>
            <w:vAlign w:val="center"/>
          </w:tcPr>
          <w:p w14:paraId="067C5869">
            <w:pPr>
              <w:pStyle w:val="164"/>
              <w:spacing w:after="0" w:line="240" w:lineRule="auto"/>
            </w:pPr>
            <w:r>
              <w:rPr>
                <w:b w:val="0"/>
                <w:sz w:val="15"/>
              </w:rPr>
              <w:t>DR cluster maintained ready for recovery according to final service tier.</w:t>
            </w:r>
          </w:p>
        </w:tc>
      </w:tr>
      <w:tr w14:paraId="727B5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4E789960">
            <w:pPr>
              <w:pStyle w:val="164"/>
              <w:spacing w:after="0" w:line="240" w:lineRule="auto"/>
            </w:pPr>
            <w:r>
              <w:rPr>
                <w:b w:val="0"/>
                <w:sz w:val="15"/>
              </w:rPr>
              <w:t>Automated/manual failover procedures</w:t>
            </w:r>
          </w:p>
        </w:tc>
        <w:tc>
          <w:tcPr>
            <w:tcW w:w="5227" w:type="dxa"/>
            <w:vAlign w:val="center"/>
          </w:tcPr>
          <w:p w14:paraId="4B384103">
            <w:pPr>
              <w:pStyle w:val="164"/>
              <w:spacing w:after="0" w:line="240" w:lineRule="auto"/>
            </w:pPr>
            <w:r>
              <w:rPr>
                <w:b w:val="0"/>
                <w:sz w:val="15"/>
              </w:rPr>
              <w:t>WSFC local HA plus documented DR failover/failback runbooks.</w:t>
            </w:r>
          </w:p>
        </w:tc>
      </w:tr>
      <w:tr w14:paraId="7527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27" w:type="dxa"/>
            <w:vAlign w:val="center"/>
          </w:tcPr>
          <w:p w14:paraId="54795657">
            <w:pPr>
              <w:pStyle w:val="164"/>
              <w:spacing w:after="0" w:line="240" w:lineRule="auto"/>
            </w:pPr>
            <w:r>
              <w:rPr>
                <w:b w:val="0"/>
                <w:sz w:val="15"/>
              </w:rPr>
              <w:t>RTO/RPO</w:t>
            </w:r>
          </w:p>
        </w:tc>
        <w:tc>
          <w:tcPr>
            <w:tcW w:w="5227" w:type="dxa"/>
            <w:vAlign w:val="center"/>
          </w:tcPr>
          <w:p w14:paraId="6D2DACDF">
            <w:pPr>
              <w:pStyle w:val="164"/>
              <w:spacing w:after="0" w:line="240" w:lineRule="auto"/>
            </w:pPr>
            <w:r>
              <w:rPr>
                <w:b w:val="0"/>
                <w:sz w:val="15"/>
              </w:rPr>
              <w:t>Final values mapped to RFP and application tiers and demonstrated during testing.</w:t>
            </w:r>
          </w:p>
        </w:tc>
      </w:tr>
    </w:tbl>
    <w:p w14:paraId="36080367">
      <w:pPr>
        <w:spacing w:after="0"/>
      </w:pPr>
    </w:p>
    <w:p w14:paraId="52DB9C45">
      <w:r>
        <w:t>The RFP performance section specifies automatic failover initiation of &lt;=60 seconds, full service recovery of approximately 5-15 minutes depending on architecture, and Primary/DR synchronization near-real-time or &lt;=5 minutes. These are acceptance targets that require end-to-end testing and sufficient WAN/application replication performance; they are not guaranteed solely by host hardware.</w:t>
      </w:r>
    </w:p>
    <w:p w14:paraId="2199C5F2">
      <w:pPr>
        <w:pStyle w:val="2"/>
      </w:pPr>
      <w:r>
        <w:t>9. HSM, SIEM and SOC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5"/>
        <w:gridCol w:w="3485"/>
        <w:gridCol w:w="3485"/>
      </w:tblGrid>
      <w:tr w14:paraId="0A49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85" w:type="dxa"/>
            <w:shd w:val="clear" w:color="auto" w:fill="1F4E79"/>
            <w:vAlign w:val="center"/>
          </w:tcPr>
          <w:p w14:paraId="1185EB7F">
            <w:pPr>
              <w:pStyle w:val="164"/>
              <w:spacing w:after="0" w:line="240" w:lineRule="auto"/>
            </w:pPr>
            <w:r>
              <w:rPr>
                <w:b/>
                <w:color w:val="FFFFFF"/>
                <w:sz w:val="15"/>
              </w:rPr>
              <w:t>RFP Security Requirement</w:t>
            </w:r>
          </w:p>
        </w:tc>
        <w:tc>
          <w:tcPr>
            <w:tcW w:w="3485" w:type="dxa"/>
            <w:shd w:val="clear" w:color="auto" w:fill="1F4E79"/>
            <w:vAlign w:val="center"/>
          </w:tcPr>
          <w:p w14:paraId="20AB32C8">
            <w:pPr>
              <w:pStyle w:val="164"/>
              <w:spacing w:after="0" w:line="240" w:lineRule="auto"/>
            </w:pPr>
            <w:r>
              <w:rPr>
                <w:b/>
                <w:color w:val="FFFFFF"/>
                <w:sz w:val="15"/>
              </w:rPr>
              <w:t>How It Is Covered</w:t>
            </w:r>
          </w:p>
        </w:tc>
        <w:tc>
          <w:tcPr>
            <w:tcW w:w="3485" w:type="dxa"/>
            <w:shd w:val="clear" w:color="auto" w:fill="1F4E79"/>
            <w:vAlign w:val="center"/>
          </w:tcPr>
          <w:p w14:paraId="3EE3C2E7">
            <w:pPr>
              <w:pStyle w:val="164"/>
              <w:spacing w:after="0" w:line="240" w:lineRule="auto"/>
            </w:pPr>
            <w:r>
              <w:rPr>
                <w:b/>
                <w:color w:val="FFFFFF"/>
                <w:sz w:val="15"/>
              </w:rPr>
              <w:t>Status</w:t>
            </w:r>
          </w:p>
        </w:tc>
      </w:tr>
      <w:tr w14:paraId="27D8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09270AD7">
            <w:pPr>
              <w:pStyle w:val="164"/>
              <w:spacing w:after="0" w:line="240" w:lineRule="auto"/>
            </w:pPr>
            <w:r>
              <w:rPr>
                <w:b w:val="0"/>
                <w:sz w:val="15"/>
              </w:rPr>
              <w:t>Hardware Security Module (HSM)</w:t>
            </w:r>
          </w:p>
        </w:tc>
        <w:tc>
          <w:tcPr>
            <w:tcW w:w="3485" w:type="dxa"/>
            <w:vAlign w:val="center"/>
          </w:tcPr>
          <w:p w14:paraId="0BB75DF9">
            <w:pPr>
              <w:pStyle w:val="164"/>
              <w:spacing w:after="0" w:line="240" w:lineRule="auto"/>
            </w:pPr>
            <w:r>
              <w:rPr>
                <w:b w:val="0"/>
                <w:sz w:val="15"/>
              </w:rPr>
              <w:t>Dedicated HSM capability for cryptographic operations and key-management integration. Selected HSM must meet applicable FIPS 140-2/140-3 validation requirements stated by the RFP.</w:t>
            </w:r>
          </w:p>
        </w:tc>
        <w:tc>
          <w:tcPr>
            <w:tcW w:w="3485" w:type="dxa"/>
            <w:shd w:val="clear" w:color="auto" w:fill="FCE4D6"/>
            <w:vAlign w:val="center"/>
          </w:tcPr>
          <w:p w14:paraId="2560CA01">
            <w:pPr>
              <w:pStyle w:val="164"/>
              <w:spacing w:after="0" w:line="240" w:lineRule="auto"/>
            </w:pPr>
            <w:r>
              <w:rPr>
                <w:b w:val="0"/>
                <w:sz w:val="15"/>
              </w:rPr>
              <w:t>Additional product selection required</w:t>
            </w:r>
          </w:p>
        </w:tc>
      </w:tr>
      <w:tr w14:paraId="4931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0C5E3757">
            <w:pPr>
              <w:pStyle w:val="164"/>
              <w:spacing w:after="0" w:line="240" w:lineRule="auto"/>
            </w:pPr>
            <w:r>
              <w:rPr>
                <w:b w:val="0"/>
                <w:sz w:val="15"/>
              </w:rPr>
              <w:t>SIEM integration</w:t>
            </w:r>
          </w:p>
        </w:tc>
        <w:tc>
          <w:tcPr>
            <w:tcW w:w="3485" w:type="dxa"/>
            <w:vAlign w:val="center"/>
          </w:tcPr>
          <w:p w14:paraId="5B4A43B5">
            <w:pPr>
              <w:pStyle w:val="164"/>
              <w:spacing w:after="0" w:line="240" w:lineRule="auto"/>
            </w:pPr>
            <w:r>
              <w:rPr>
                <w:b w:val="0"/>
                <w:sz w:val="15"/>
              </w:rPr>
              <w:t>Centralized security-log/event integration from firewalls, servers, Windows/AD, applications, databases, backup, network and other supported systems.</w:t>
            </w:r>
          </w:p>
        </w:tc>
        <w:tc>
          <w:tcPr>
            <w:tcW w:w="3485" w:type="dxa"/>
            <w:shd w:val="clear" w:color="auto" w:fill="FFF2CC"/>
            <w:vAlign w:val="center"/>
          </w:tcPr>
          <w:p w14:paraId="4B9AE118">
            <w:pPr>
              <w:pStyle w:val="164"/>
              <w:spacing w:after="0" w:line="240" w:lineRule="auto"/>
            </w:pPr>
            <w:r>
              <w:rPr>
                <w:b w:val="0"/>
                <w:sz w:val="15"/>
              </w:rPr>
              <w:t>Covered - final product/integration</w:t>
            </w:r>
          </w:p>
        </w:tc>
      </w:tr>
      <w:tr w14:paraId="6B1E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CB8EC2B">
            <w:pPr>
              <w:pStyle w:val="164"/>
              <w:spacing w:after="0" w:line="240" w:lineRule="auto"/>
            </w:pPr>
            <w:r>
              <w:rPr>
                <w:b w:val="0"/>
                <w:sz w:val="15"/>
              </w:rPr>
              <w:t>SOC capability or integration</w:t>
            </w:r>
          </w:p>
        </w:tc>
        <w:tc>
          <w:tcPr>
            <w:tcW w:w="3485" w:type="dxa"/>
            <w:vAlign w:val="center"/>
          </w:tcPr>
          <w:p w14:paraId="67EF8A22">
            <w:pPr>
              <w:pStyle w:val="164"/>
              <w:spacing w:after="0" w:line="240" w:lineRule="auto"/>
            </w:pPr>
            <w:r>
              <w:rPr>
                <w:b w:val="0"/>
                <w:sz w:val="15"/>
              </w:rPr>
              <w:t>24/7 security monitoring capability or integration with an external/central SOC, including incident alerting, escalation, forensic support and reporting.</w:t>
            </w:r>
          </w:p>
        </w:tc>
        <w:tc>
          <w:tcPr>
            <w:tcW w:w="3485" w:type="dxa"/>
            <w:shd w:val="clear" w:color="auto" w:fill="FFF2CC"/>
            <w:vAlign w:val="center"/>
          </w:tcPr>
          <w:p w14:paraId="26CC48F1">
            <w:pPr>
              <w:pStyle w:val="164"/>
              <w:spacing w:after="0" w:line="240" w:lineRule="auto"/>
            </w:pPr>
            <w:r>
              <w:rPr>
                <w:b w:val="0"/>
                <w:sz w:val="15"/>
              </w:rPr>
              <w:t>Covered - operational model to finalize</w:t>
            </w:r>
          </w:p>
        </w:tc>
      </w:tr>
    </w:tbl>
    <w:p w14:paraId="7D6DDFEC">
      <w:pPr>
        <w:spacing w:after="0"/>
      </w:pPr>
    </w:p>
    <w:p w14:paraId="72EE6064">
      <w:r>
        <w:t>The RFP explicitly mentions HSMs for cryptographic operations, SIEM integration, and Security Operations Centre (SOC) capability or integration within its cybersecurity requirements (Section VII, approximately pp. 145 and 150-152).</w:t>
      </w:r>
    </w:p>
    <w:p w14:paraId="2F6BB746">
      <w:pPr>
        <w:pStyle w:val="2"/>
      </w:pPr>
      <w:r>
        <w:t>10. Monitoring and Management</w:t>
      </w:r>
    </w:p>
    <w:p w14:paraId="0D181C6E">
      <w:pPr>
        <w:pStyle w:val="23"/>
      </w:pPr>
      <w:r>
        <w:t>Centralized infrastructure monitoring for Hyper-V hosts, VMs, databases, SAN, switches, firewalls and backup components.</w:t>
      </w:r>
    </w:p>
    <w:p w14:paraId="0450057A">
      <w:pPr>
        <w:pStyle w:val="23"/>
      </w:pPr>
      <w:r>
        <w:t>Real-time and historical performance monitoring with threshold-based alerts.</w:t>
      </w:r>
    </w:p>
    <w:p w14:paraId="4285B051">
      <w:pPr>
        <w:pStyle w:val="23"/>
      </w:pPr>
      <w:r>
        <w:t>Environmental monitoring for temperature, humidity, power and UPS status.</w:t>
      </w:r>
    </w:p>
    <w:p w14:paraId="6125A719">
      <w:pPr>
        <w:pStyle w:val="23"/>
      </w:pPr>
      <w:r>
        <w:t>Backup monitoring and failure notifications.</w:t>
      </w:r>
    </w:p>
    <w:p w14:paraId="3D533688">
      <w:pPr>
        <w:pStyle w:val="23"/>
      </w:pPr>
      <w:r>
        <w:t>Security-event forwarding to SIEM and SOC capability/integration.</w:t>
      </w:r>
    </w:p>
    <w:p w14:paraId="208BF010">
      <w:pPr>
        <w:pStyle w:val="23"/>
      </w:pPr>
      <w:r>
        <w:t>Capacity and SLA monitoring to support proactive scaling.</w:t>
      </w:r>
    </w:p>
    <w:p w14:paraId="28413080">
      <w:pPr>
        <w:pStyle w:val="2"/>
      </w:pPr>
      <w:r>
        <w:t>11. Facility and Physical Infrastructure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5"/>
        <w:gridCol w:w="3485"/>
        <w:gridCol w:w="3485"/>
      </w:tblGrid>
      <w:tr w14:paraId="49A7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85" w:type="dxa"/>
            <w:shd w:val="clear" w:color="auto" w:fill="1F4E79"/>
            <w:vAlign w:val="center"/>
          </w:tcPr>
          <w:p w14:paraId="619CEB7E">
            <w:pPr>
              <w:pStyle w:val="164"/>
              <w:spacing w:after="0" w:line="240" w:lineRule="auto"/>
            </w:pPr>
            <w:r>
              <w:rPr>
                <w:b/>
                <w:color w:val="FFFFFF"/>
                <w:sz w:val="15"/>
              </w:rPr>
              <w:t>RFP Area</w:t>
            </w:r>
          </w:p>
        </w:tc>
        <w:tc>
          <w:tcPr>
            <w:tcW w:w="3485" w:type="dxa"/>
            <w:shd w:val="clear" w:color="auto" w:fill="1F4E79"/>
            <w:vAlign w:val="center"/>
          </w:tcPr>
          <w:p w14:paraId="0C507425">
            <w:pPr>
              <w:pStyle w:val="164"/>
              <w:spacing w:after="0" w:line="240" w:lineRule="auto"/>
            </w:pPr>
            <w:r>
              <w:rPr>
                <w:b/>
                <w:color w:val="FFFFFF"/>
                <w:sz w:val="15"/>
              </w:rPr>
              <w:t>Proposed Coverage</w:t>
            </w:r>
          </w:p>
        </w:tc>
        <w:tc>
          <w:tcPr>
            <w:tcW w:w="3485" w:type="dxa"/>
            <w:shd w:val="clear" w:color="auto" w:fill="1F4E79"/>
            <w:vAlign w:val="center"/>
          </w:tcPr>
          <w:p w14:paraId="17A4D47D">
            <w:pPr>
              <w:pStyle w:val="164"/>
              <w:spacing w:after="0" w:line="240" w:lineRule="auto"/>
            </w:pPr>
            <w:r>
              <w:rPr>
                <w:b/>
                <w:color w:val="FFFFFF"/>
                <w:sz w:val="15"/>
              </w:rPr>
              <w:t>Status</w:t>
            </w:r>
          </w:p>
        </w:tc>
      </w:tr>
      <w:tr w14:paraId="3188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51DE9C95">
            <w:pPr>
              <w:pStyle w:val="164"/>
              <w:spacing w:after="0" w:line="240" w:lineRule="auto"/>
            </w:pPr>
            <w:r>
              <w:rPr>
                <w:b w:val="0"/>
                <w:sz w:val="15"/>
              </w:rPr>
              <w:t>Power</w:t>
            </w:r>
          </w:p>
        </w:tc>
        <w:tc>
          <w:tcPr>
            <w:tcW w:w="3485" w:type="dxa"/>
            <w:vAlign w:val="center"/>
          </w:tcPr>
          <w:p w14:paraId="5CC8FF10">
            <w:pPr>
              <w:pStyle w:val="164"/>
              <w:spacing w:after="0" w:line="240" w:lineRule="auto"/>
            </w:pPr>
            <w:r>
              <w:rPr>
                <w:b w:val="0"/>
                <w:sz w:val="15"/>
              </w:rPr>
              <w:t>UPS, generator integration, ATS, rack PDUs, grounding/earthing and electrical protection.</w:t>
            </w:r>
          </w:p>
        </w:tc>
        <w:tc>
          <w:tcPr>
            <w:tcW w:w="3485" w:type="dxa"/>
            <w:shd w:val="clear" w:color="auto" w:fill="CCC0D9" w:themeFill="accent4" w:themeFillTint="66"/>
            <w:vAlign w:val="center"/>
          </w:tcPr>
          <w:p w14:paraId="0792A856">
            <w:pPr>
              <w:pStyle w:val="164"/>
              <w:spacing w:after="0" w:line="240" w:lineRule="auto"/>
            </w:pPr>
            <w:r>
              <w:rPr>
                <w:b w:val="0"/>
                <w:sz w:val="15"/>
              </w:rPr>
              <w:t>Additional item required</w:t>
            </w:r>
          </w:p>
        </w:tc>
      </w:tr>
      <w:tr w14:paraId="08F4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4D6ECA1B">
            <w:pPr>
              <w:pStyle w:val="164"/>
              <w:spacing w:after="0" w:line="240" w:lineRule="auto"/>
            </w:pPr>
            <w:r>
              <w:rPr>
                <w:b w:val="0"/>
                <w:sz w:val="15"/>
              </w:rPr>
              <w:t>Environmental</w:t>
            </w:r>
          </w:p>
        </w:tc>
        <w:tc>
          <w:tcPr>
            <w:tcW w:w="3485" w:type="dxa"/>
            <w:vAlign w:val="center"/>
          </w:tcPr>
          <w:p w14:paraId="6BFFCF4B">
            <w:pPr>
              <w:pStyle w:val="164"/>
              <w:spacing w:after="0" w:line="240" w:lineRule="auto"/>
            </w:pPr>
            <w:r>
              <w:rPr>
                <w:b w:val="0"/>
                <w:sz w:val="15"/>
              </w:rPr>
              <w:t>HVAC/precision cooling, environmental monitoring and air filtration.</w:t>
            </w:r>
          </w:p>
        </w:tc>
        <w:tc>
          <w:tcPr>
            <w:tcW w:w="3485" w:type="dxa"/>
            <w:shd w:val="clear" w:color="auto" w:fill="CCC0D9" w:themeFill="accent4" w:themeFillTint="66"/>
            <w:vAlign w:val="center"/>
          </w:tcPr>
          <w:p w14:paraId="67E1421B">
            <w:pPr>
              <w:pStyle w:val="164"/>
              <w:spacing w:after="0" w:line="240" w:lineRule="auto"/>
            </w:pPr>
            <w:r>
              <w:rPr>
                <w:b w:val="0"/>
                <w:sz w:val="15"/>
              </w:rPr>
              <w:t>Additional item required</w:t>
            </w:r>
          </w:p>
        </w:tc>
      </w:tr>
      <w:tr w14:paraId="6B3F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48AE284D">
            <w:pPr>
              <w:pStyle w:val="164"/>
              <w:spacing w:after="0" w:line="240" w:lineRule="auto"/>
            </w:pPr>
            <w:r>
              <w:rPr>
                <w:b w:val="0"/>
                <w:sz w:val="15"/>
              </w:rPr>
              <w:t>Racks and cabling</w:t>
            </w:r>
          </w:p>
        </w:tc>
        <w:tc>
          <w:tcPr>
            <w:tcW w:w="3485" w:type="dxa"/>
            <w:vAlign w:val="center"/>
          </w:tcPr>
          <w:p w14:paraId="703D0DD8">
            <w:pPr>
              <w:pStyle w:val="164"/>
              <w:spacing w:after="0" w:line="240" w:lineRule="auto"/>
            </w:pPr>
            <w:r>
              <w:rPr>
                <w:b w:val="0"/>
                <w:sz w:val="15"/>
              </w:rPr>
              <w:t>Racks/cabinets, structured copper/fiber cabling, patch panels, cable management and labeling.</w:t>
            </w:r>
          </w:p>
        </w:tc>
        <w:tc>
          <w:tcPr>
            <w:tcW w:w="3485" w:type="dxa"/>
            <w:shd w:val="clear" w:color="auto" w:fill="CCC0D9" w:themeFill="accent4" w:themeFillTint="66"/>
            <w:vAlign w:val="center"/>
          </w:tcPr>
          <w:p w14:paraId="6364B114">
            <w:pPr>
              <w:pStyle w:val="164"/>
              <w:spacing w:after="0" w:line="240" w:lineRule="auto"/>
            </w:pPr>
            <w:r>
              <w:rPr>
                <w:b w:val="0"/>
                <w:sz w:val="15"/>
              </w:rPr>
              <w:t>Additional item required</w:t>
            </w:r>
          </w:p>
        </w:tc>
      </w:tr>
      <w:tr w14:paraId="13EE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5C7731F">
            <w:pPr>
              <w:pStyle w:val="164"/>
              <w:spacing w:after="0" w:line="240" w:lineRule="auto"/>
            </w:pPr>
            <w:r>
              <w:rPr>
                <w:b w:val="0"/>
                <w:sz w:val="15"/>
              </w:rPr>
              <w:t>Physical access</w:t>
            </w:r>
          </w:p>
        </w:tc>
        <w:tc>
          <w:tcPr>
            <w:tcW w:w="3485" w:type="dxa"/>
            <w:vAlign w:val="center"/>
          </w:tcPr>
          <w:p w14:paraId="1B7C6736">
            <w:pPr>
              <w:pStyle w:val="164"/>
              <w:spacing w:after="0" w:line="240" w:lineRule="auto"/>
            </w:pPr>
            <w:r>
              <w:rPr>
                <w:b w:val="0"/>
                <w:sz w:val="15"/>
              </w:rPr>
              <w:t>Biometric/smart-card access control and access logging.</w:t>
            </w:r>
          </w:p>
        </w:tc>
        <w:tc>
          <w:tcPr>
            <w:tcW w:w="3485" w:type="dxa"/>
            <w:shd w:val="clear" w:color="auto" w:fill="CCC0D9" w:themeFill="accent4" w:themeFillTint="66"/>
            <w:vAlign w:val="center"/>
          </w:tcPr>
          <w:p w14:paraId="5789780F">
            <w:pPr>
              <w:pStyle w:val="164"/>
              <w:spacing w:after="0" w:line="240" w:lineRule="auto"/>
            </w:pPr>
            <w:r>
              <w:rPr>
                <w:b w:val="0"/>
                <w:sz w:val="15"/>
              </w:rPr>
              <w:t>Additional item required</w:t>
            </w:r>
          </w:p>
        </w:tc>
      </w:tr>
      <w:tr w14:paraId="0420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068E700">
            <w:pPr>
              <w:pStyle w:val="164"/>
              <w:spacing w:after="0" w:line="240" w:lineRule="auto"/>
            </w:pPr>
            <w:r>
              <w:rPr>
                <w:b w:val="0"/>
                <w:sz w:val="15"/>
              </w:rPr>
              <w:t>CCTV/intrusion</w:t>
            </w:r>
          </w:p>
        </w:tc>
        <w:tc>
          <w:tcPr>
            <w:tcW w:w="3485" w:type="dxa"/>
            <w:vAlign w:val="center"/>
          </w:tcPr>
          <w:p w14:paraId="774CC9A5">
            <w:pPr>
              <w:pStyle w:val="164"/>
              <w:spacing w:after="0" w:line="240" w:lineRule="auto"/>
            </w:pPr>
            <w:r>
              <w:rPr>
                <w:b w:val="0"/>
                <w:sz w:val="15"/>
              </w:rPr>
              <w:t>CCTV/VMS/NVR retention, motion/door sensors and alarms.</w:t>
            </w:r>
          </w:p>
        </w:tc>
        <w:tc>
          <w:tcPr>
            <w:tcW w:w="3485" w:type="dxa"/>
            <w:shd w:val="clear" w:color="auto" w:fill="CCC0D9" w:themeFill="accent4" w:themeFillTint="66"/>
            <w:vAlign w:val="center"/>
          </w:tcPr>
          <w:p w14:paraId="7627E800">
            <w:pPr>
              <w:pStyle w:val="164"/>
              <w:spacing w:after="0" w:line="240" w:lineRule="auto"/>
            </w:pPr>
            <w:r>
              <w:rPr>
                <w:b w:val="0"/>
                <w:sz w:val="15"/>
              </w:rPr>
              <w:t>Additional item required</w:t>
            </w:r>
          </w:p>
        </w:tc>
      </w:tr>
      <w:tr w14:paraId="2E2D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30E0DB9">
            <w:pPr>
              <w:pStyle w:val="164"/>
              <w:spacing w:after="0" w:line="240" w:lineRule="auto"/>
            </w:pPr>
            <w:r>
              <w:rPr>
                <w:b w:val="0"/>
                <w:sz w:val="15"/>
              </w:rPr>
              <w:t>Fire protection</w:t>
            </w:r>
          </w:p>
        </w:tc>
        <w:tc>
          <w:tcPr>
            <w:tcW w:w="3485" w:type="dxa"/>
            <w:vAlign w:val="center"/>
          </w:tcPr>
          <w:p w14:paraId="7851716D">
            <w:pPr>
              <w:pStyle w:val="164"/>
              <w:spacing w:after="0" w:line="240" w:lineRule="auto"/>
            </w:pPr>
            <w:r>
              <w:rPr>
                <w:b w:val="0"/>
                <w:sz w:val="15"/>
              </w:rPr>
              <w:t>Detection, smoke/heat alarms and clean-agent server-room suppression.</w:t>
            </w:r>
          </w:p>
        </w:tc>
        <w:tc>
          <w:tcPr>
            <w:tcW w:w="3485" w:type="dxa"/>
            <w:shd w:val="clear" w:color="auto" w:fill="CCC0D9" w:themeFill="accent4" w:themeFillTint="66"/>
            <w:vAlign w:val="center"/>
          </w:tcPr>
          <w:p w14:paraId="2E8957AC">
            <w:pPr>
              <w:pStyle w:val="164"/>
              <w:spacing w:after="0" w:line="240" w:lineRule="auto"/>
            </w:pPr>
            <w:r>
              <w:rPr>
                <w:b w:val="0"/>
                <w:sz w:val="15"/>
              </w:rPr>
              <w:t>Additional item required</w:t>
            </w:r>
          </w:p>
        </w:tc>
      </w:tr>
    </w:tbl>
    <w:p w14:paraId="0A1A978C">
      <w:pPr>
        <w:spacing w:after="0"/>
      </w:pPr>
    </w:p>
    <w:p w14:paraId="3639F698">
      <w:pPr>
        <w:pStyle w:val="2"/>
      </w:pPr>
      <w:r>
        <w:t>12. Infrastructure Compliance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5"/>
        <w:gridCol w:w="3485"/>
        <w:gridCol w:w="3485"/>
      </w:tblGrid>
      <w:tr w14:paraId="46C5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85" w:type="dxa"/>
            <w:shd w:val="clear" w:color="auto" w:fill="1F4E79"/>
            <w:vAlign w:val="center"/>
          </w:tcPr>
          <w:p w14:paraId="0A038C46">
            <w:pPr>
              <w:pStyle w:val="164"/>
              <w:spacing w:after="0" w:line="240" w:lineRule="auto"/>
            </w:pPr>
            <w:r>
              <w:rPr>
                <w:b/>
                <w:color w:val="FFFFFF"/>
                <w:sz w:val="15"/>
              </w:rPr>
              <w:t>RFP / Design Requirement</w:t>
            </w:r>
          </w:p>
        </w:tc>
        <w:tc>
          <w:tcPr>
            <w:tcW w:w="3485" w:type="dxa"/>
            <w:shd w:val="clear" w:color="auto" w:fill="1F4E79"/>
            <w:vAlign w:val="center"/>
          </w:tcPr>
          <w:p w14:paraId="448D3AF4">
            <w:pPr>
              <w:pStyle w:val="164"/>
              <w:spacing w:after="0" w:line="240" w:lineRule="auto"/>
            </w:pPr>
            <w:r>
              <w:rPr>
                <w:b/>
                <w:color w:val="FFFFFF"/>
                <w:sz w:val="15"/>
              </w:rPr>
              <w:t>Proposed Coverage</w:t>
            </w:r>
          </w:p>
        </w:tc>
        <w:tc>
          <w:tcPr>
            <w:tcW w:w="3485" w:type="dxa"/>
            <w:shd w:val="clear" w:color="auto" w:fill="1F4E79"/>
            <w:vAlign w:val="center"/>
          </w:tcPr>
          <w:p w14:paraId="7B024A7B">
            <w:pPr>
              <w:pStyle w:val="164"/>
              <w:spacing w:after="0" w:line="240" w:lineRule="auto"/>
            </w:pPr>
            <w:r>
              <w:rPr>
                <w:b/>
                <w:color w:val="FFFFFF"/>
                <w:sz w:val="15"/>
              </w:rPr>
              <w:t>Status</w:t>
            </w:r>
          </w:p>
        </w:tc>
      </w:tr>
      <w:tr w14:paraId="34D4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2510EA5">
            <w:pPr>
              <w:pStyle w:val="164"/>
              <w:spacing w:after="0" w:line="240" w:lineRule="auto"/>
            </w:pPr>
            <w:r>
              <w:rPr>
                <w:b w:val="0"/>
                <w:sz w:val="15"/>
              </w:rPr>
              <w:t>Secure/scalable/redundant enterprise hardware</w:t>
            </w:r>
          </w:p>
        </w:tc>
        <w:tc>
          <w:tcPr>
            <w:tcW w:w="3485" w:type="dxa"/>
            <w:vAlign w:val="center"/>
          </w:tcPr>
          <w:p w14:paraId="5CD79E5D">
            <w:pPr>
              <w:pStyle w:val="164"/>
              <w:spacing w:after="0" w:line="240" w:lineRule="auto"/>
            </w:pPr>
            <w:r>
              <w:rPr>
                <w:b w:val="0"/>
                <w:sz w:val="15"/>
              </w:rPr>
              <w:t>4-node Primary, 2-node DR, redundant SAN/network/security.</w:t>
            </w:r>
          </w:p>
        </w:tc>
        <w:tc>
          <w:tcPr>
            <w:tcW w:w="3485" w:type="dxa"/>
            <w:shd w:val="clear" w:color="auto" w:fill="E2F0D9"/>
            <w:vAlign w:val="center"/>
          </w:tcPr>
          <w:p w14:paraId="69225C88">
            <w:pPr>
              <w:pStyle w:val="164"/>
              <w:spacing w:after="0" w:line="240" w:lineRule="auto"/>
            </w:pPr>
            <w:r>
              <w:rPr>
                <w:b w:val="0"/>
                <w:sz w:val="15"/>
              </w:rPr>
              <w:t>Covered</w:t>
            </w:r>
          </w:p>
        </w:tc>
      </w:tr>
      <w:tr w14:paraId="352B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00A8284">
            <w:pPr>
              <w:pStyle w:val="164"/>
              <w:spacing w:after="0" w:line="240" w:lineRule="auto"/>
            </w:pPr>
            <w:r>
              <w:rPr>
                <w:b w:val="0"/>
                <w:sz w:val="15"/>
              </w:rPr>
              <w:t>Active-passive/active-active clustering</w:t>
            </w:r>
          </w:p>
        </w:tc>
        <w:tc>
          <w:tcPr>
            <w:tcW w:w="3485" w:type="dxa"/>
            <w:vAlign w:val="center"/>
          </w:tcPr>
          <w:p w14:paraId="598E42D7">
            <w:pPr>
              <w:pStyle w:val="164"/>
              <w:spacing w:after="0" w:line="240" w:lineRule="auto"/>
            </w:pPr>
            <w:r>
              <w:rPr>
                <w:b w:val="0"/>
                <w:sz w:val="15"/>
              </w:rPr>
              <w:t>WSFC Application, Database and DR clusters.</w:t>
            </w:r>
          </w:p>
        </w:tc>
        <w:tc>
          <w:tcPr>
            <w:tcW w:w="3485" w:type="dxa"/>
            <w:shd w:val="clear" w:color="auto" w:fill="E2F0D9"/>
            <w:vAlign w:val="center"/>
          </w:tcPr>
          <w:p w14:paraId="02BFBC59">
            <w:pPr>
              <w:pStyle w:val="164"/>
              <w:spacing w:after="0" w:line="240" w:lineRule="auto"/>
            </w:pPr>
            <w:r>
              <w:rPr>
                <w:b w:val="0"/>
                <w:sz w:val="15"/>
              </w:rPr>
              <w:t>Covered</w:t>
            </w:r>
          </w:p>
        </w:tc>
      </w:tr>
      <w:tr w14:paraId="12F0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D16B70A">
            <w:pPr>
              <w:pStyle w:val="164"/>
              <w:spacing w:after="0" w:line="240" w:lineRule="auto"/>
            </w:pPr>
            <w:r>
              <w:rPr>
                <w:b w:val="0"/>
                <w:sz w:val="15"/>
              </w:rPr>
              <w:t>Automated failover</w:t>
            </w:r>
          </w:p>
        </w:tc>
        <w:tc>
          <w:tcPr>
            <w:tcW w:w="3485" w:type="dxa"/>
            <w:vAlign w:val="center"/>
          </w:tcPr>
          <w:p w14:paraId="0BDC033F">
            <w:pPr>
              <w:pStyle w:val="164"/>
              <w:spacing w:after="0" w:line="240" w:lineRule="auto"/>
            </w:pPr>
            <w:r>
              <w:rPr>
                <w:b w:val="0"/>
                <w:sz w:val="15"/>
              </w:rPr>
              <w:t>WSFC local HA; DR procedures/replication.</w:t>
            </w:r>
          </w:p>
        </w:tc>
        <w:tc>
          <w:tcPr>
            <w:tcW w:w="3485" w:type="dxa"/>
            <w:shd w:val="clear" w:color="auto" w:fill="FFF2CC"/>
            <w:vAlign w:val="center"/>
          </w:tcPr>
          <w:p w14:paraId="75F81604">
            <w:pPr>
              <w:pStyle w:val="164"/>
              <w:spacing w:after="0" w:line="240" w:lineRule="auto"/>
            </w:pPr>
            <w:r>
              <w:rPr>
                <w:b w:val="0"/>
                <w:sz w:val="15"/>
              </w:rPr>
              <w:t>Covered - final testing</w:t>
            </w:r>
          </w:p>
        </w:tc>
      </w:tr>
      <w:tr w14:paraId="48DE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1D734CF">
            <w:pPr>
              <w:pStyle w:val="164"/>
              <w:spacing w:after="0" w:line="240" w:lineRule="auto"/>
            </w:pPr>
            <w:r>
              <w:rPr>
                <w:b w:val="0"/>
                <w:sz w:val="15"/>
              </w:rPr>
              <w:t>HA database clustering</w:t>
            </w:r>
          </w:p>
        </w:tc>
        <w:tc>
          <w:tcPr>
            <w:tcW w:w="3485" w:type="dxa"/>
            <w:vAlign w:val="center"/>
          </w:tcPr>
          <w:p w14:paraId="352EB8AD">
            <w:pPr>
              <w:pStyle w:val="164"/>
              <w:spacing w:after="0" w:line="240" w:lineRule="auto"/>
            </w:pPr>
            <w:r>
              <w:rPr>
                <w:b w:val="0"/>
                <w:sz w:val="15"/>
              </w:rPr>
              <w:t>Dedicated DB cluster infrastructure; DB-native HA to be finalized with vendor.</w:t>
            </w:r>
          </w:p>
        </w:tc>
        <w:tc>
          <w:tcPr>
            <w:tcW w:w="3485" w:type="dxa"/>
            <w:shd w:val="clear" w:color="auto" w:fill="FFF2CC"/>
            <w:vAlign w:val="center"/>
          </w:tcPr>
          <w:p w14:paraId="1C7B6158">
            <w:pPr>
              <w:pStyle w:val="164"/>
              <w:spacing w:after="0" w:line="240" w:lineRule="auto"/>
            </w:pPr>
            <w:r>
              <w:rPr>
                <w:b w:val="0"/>
                <w:sz w:val="15"/>
              </w:rPr>
              <w:t>Application/vendor dependent</w:t>
            </w:r>
          </w:p>
        </w:tc>
      </w:tr>
      <w:tr w14:paraId="7CF8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BBB47DB">
            <w:pPr>
              <w:pStyle w:val="164"/>
              <w:spacing w:after="0" w:line="240" w:lineRule="auto"/>
            </w:pPr>
            <w:r>
              <w:rPr>
                <w:b w:val="0"/>
                <w:sz w:val="15"/>
              </w:rPr>
              <w:t>Load balancing for printing jobs</w:t>
            </w:r>
          </w:p>
        </w:tc>
        <w:tc>
          <w:tcPr>
            <w:tcW w:w="3485" w:type="dxa"/>
            <w:vAlign w:val="center"/>
          </w:tcPr>
          <w:p w14:paraId="511A2B96">
            <w:pPr>
              <w:pStyle w:val="164"/>
              <w:spacing w:after="0" w:line="240" w:lineRule="auto"/>
            </w:pPr>
            <w:r>
              <w:rPr>
                <w:b w:val="0"/>
                <w:sz w:val="15"/>
              </w:rPr>
              <w:t>Infrastructure supports redundant services; application/vendor config required.</w:t>
            </w:r>
          </w:p>
        </w:tc>
        <w:tc>
          <w:tcPr>
            <w:tcW w:w="3485" w:type="dxa"/>
            <w:shd w:val="clear" w:color="auto" w:fill="FFF2CC"/>
            <w:vAlign w:val="center"/>
          </w:tcPr>
          <w:p w14:paraId="78BF36FC">
            <w:pPr>
              <w:pStyle w:val="164"/>
              <w:spacing w:after="0" w:line="240" w:lineRule="auto"/>
            </w:pPr>
            <w:r>
              <w:rPr>
                <w:b w:val="0"/>
                <w:sz w:val="15"/>
              </w:rPr>
              <w:t>Application/vendor dependent</w:t>
            </w:r>
          </w:p>
        </w:tc>
      </w:tr>
      <w:tr w14:paraId="1115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0DF928BD">
            <w:pPr>
              <w:pStyle w:val="164"/>
              <w:spacing w:after="0" w:line="240" w:lineRule="auto"/>
            </w:pPr>
            <w:r>
              <w:rPr>
                <w:b w:val="0"/>
                <w:sz w:val="15"/>
              </w:rPr>
              <w:t>Network segmentation/firewall isolation</w:t>
            </w:r>
          </w:p>
        </w:tc>
        <w:tc>
          <w:tcPr>
            <w:tcW w:w="3485" w:type="dxa"/>
            <w:vAlign w:val="center"/>
          </w:tcPr>
          <w:p w14:paraId="1B48DC3E">
            <w:pPr>
              <w:pStyle w:val="164"/>
              <w:spacing w:after="0" w:line="240" w:lineRule="auto"/>
            </w:pPr>
            <w:r>
              <w:rPr>
                <w:b w:val="0"/>
                <w:sz w:val="15"/>
              </w:rPr>
              <w:t>Redundant L3 core + VLAN zones + HA NGFW.</w:t>
            </w:r>
          </w:p>
        </w:tc>
        <w:tc>
          <w:tcPr>
            <w:tcW w:w="3485" w:type="dxa"/>
            <w:shd w:val="clear" w:color="auto" w:fill="E2F0D9"/>
            <w:vAlign w:val="center"/>
          </w:tcPr>
          <w:p w14:paraId="2CD26F6D">
            <w:pPr>
              <w:pStyle w:val="164"/>
              <w:spacing w:after="0" w:line="240" w:lineRule="auto"/>
            </w:pPr>
            <w:r>
              <w:rPr>
                <w:b w:val="0"/>
                <w:sz w:val="15"/>
              </w:rPr>
              <w:t>Covered</w:t>
            </w:r>
          </w:p>
        </w:tc>
      </w:tr>
      <w:tr w14:paraId="6DD1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4EF23398">
            <w:pPr>
              <w:pStyle w:val="164"/>
              <w:spacing w:after="0" w:line="240" w:lineRule="auto"/>
            </w:pPr>
            <w:r>
              <w:rPr>
                <w:b w:val="0"/>
                <w:sz w:val="15"/>
              </w:rPr>
              <w:t>Redundant access switching</w:t>
            </w:r>
          </w:p>
        </w:tc>
        <w:tc>
          <w:tcPr>
            <w:tcW w:w="3485" w:type="dxa"/>
            <w:vAlign w:val="center"/>
          </w:tcPr>
          <w:p w14:paraId="4A9D4C15">
            <w:pPr>
              <w:pStyle w:val="164"/>
              <w:spacing w:after="0" w:line="240" w:lineRule="auto"/>
            </w:pPr>
            <w:r>
              <w:rPr>
                <w:b w:val="0"/>
                <w:sz w:val="15"/>
              </w:rPr>
              <w:t>Two edge/access switches at each site.</w:t>
            </w:r>
          </w:p>
        </w:tc>
        <w:tc>
          <w:tcPr>
            <w:tcW w:w="3485" w:type="dxa"/>
            <w:shd w:val="clear" w:color="auto" w:fill="E2F0D9"/>
            <w:vAlign w:val="center"/>
          </w:tcPr>
          <w:p w14:paraId="0AB5AC4B">
            <w:pPr>
              <w:pStyle w:val="164"/>
              <w:spacing w:after="0" w:line="240" w:lineRule="auto"/>
            </w:pPr>
            <w:r>
              <w:rPr>
                <w:b w:val="0"/>
                <w:sz w:val="15"/>
              </w:rPr>
              <w:t>Covered</w:t>
            </w:r>
          </w:p>
        </w:tc>
      </w:tr>
      <w:tr w14:paraId="0A02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6775DFE">
            <w:pPr>
              <w:pStyle w:val="164"/>
              <w:spacing w:after="0" w:line="240" w:lineRule="auto"/>
            </w:pPr>
            <w:r>
              <w:rPr>
                <w:b w:val="0"/>
                <w:sz w:val="15"/>
              </w:rPr>
              <w:t>Backup replication</w:t>
            </w:r>
          </w:p>
        </w:tc>
        <w:tc>
          <w:tcPr>
            <w:tcW w:w="3485" w:type="dxa"/>
            <w:vAlign w:val="center"/>
          </w:tcPr>
          <w:p w14:paraId="017CA4BF">
            <w:pPr>
              <w:pStyle w:val="164"/>
              <w:spacing w:after="0" w:line="240" w:lineRule="auto"/>
            </w:pPr>
            <w:r>
              <w:rPr>
                <w:b w:val="0"/>
                <w:sz w:val="15"/>
              </w:rPr>
              <w:t>Veeam backup copy/replication.</w:t>
            </w:r>
          </w:p>
        </w:tc>
        <w:tc>
          <w:tcPr>
            <w:tcW w:w="3485" w:type="dxa"/>
            <w:shd w:val="clear" w:color="auto" w:fill="E2F0D9"/>
            <w:vAlign w:val="center"/>
          </w:tcPr>
          <w:p w14:paraId="123CE5E2">
            <w:pPr>
              <w:pStyle w:val="164"/>
              <w:spacing w:after="0" w:line="240" w:lineRule="auto"/>
            </w:pPr>
            <w:r>
              <w:rPr>
                <w:b w:val="0"/>
                <w:sz w:val="15"/>
              </w:rPr>
              <w:t>Covered</w:t>
            </w:r>
          </w:p>
        </w:tc>
      </w:tr>
      <w:tr w14:paraId="360A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08674EBB">
            <w:pPr>
              <w:pStyle w:val="164"/>
              <w:spacing w:after="0" w:line="240" w:lineRule="auto"/>
            </w:pPr>
            <w:r>
              <w:rPr>
                <w:b w:val="0"/>
                <w:sz w:val="15"/>
              </w:rPr>
              <w:t>Off-site backup storage</w:t>
            </w:r>
          </w:p>
        </w:tc>
        <w:tc>
          <w:tcPr>
            <w:tcW w:w="3485" w:type="dxa"/>
            <w:vAlign w:val="center"/>
          </w:tcPr>
          <w:p w14:paraId="4EDB1F3D">
            <w:pPr>
              <w:pStyle w:val="164"/>
              <w:spacing w:after="0" w:line="240" w:lineRule="auto"/>
            </w:pPr>
            <w:r>
              <w:rPr>
                <w:b w:val="0"/>
                <w:sz w:val="15"/>
              </w:rPr>
              <w:t>DR backup repository.</w:t>
            </w:r>
          </w:p>
        </w:tc>
        <w:tc>
          <w:tcPr>
            <w:tcW w:w="3485" w:type="dxa"/>
            <w:shd w:val="clear" w:color="auto" w:fill="E2F0D9"/>
            <w:vAlign w:val="center"/>
          </w:tcPr>
          <w:p w14:paraId="46F6EB05">
            <w:pPr>
              <w:pStyle w:val="164"/>
              <w:spacing w:after="0" w:line="240" w:lineRule="auto"/>
            </w:pPr>
            <w:r>
              <w:rPr>
                <w:b w:val="0"/>
                <w:sz w:val="15"/>
              </w:rPr>
              <w:t>Covered</w:t>
            </w:r>
          </w:p>
        </w:tc>
      </w:tr>
      <w:tr w14:paraId="2292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71D8DB5">
            <w:pPr>
              <w:pStyle w:val="164"/>
              <w:spacing w:after="0" w:line="240" w:lineRule="auto"/>
            </w:pPr>
            <w:r>
              <w:rPr>
                <w:b w:val="0"/>
                <w:sz w:val="15"/>
              </w:rPr>
              <w:t>Immutable backup</w:t>
            </w:r>
          </w:p>
        </w:tc>
        <w:tc>
          <w:tcPr>
            <w:tcW w:w="3485" w:type="dxa"/>
            <w:vAlign w:val="center"/>
          </w:tcPr>
          <w:p w14:paraId="56604D33">
            <w:pPr>
              <w:pStyle w:val="164"/>
              <w:spacing w:after="0" w:line="240" w:lineRule="auto"/>
            </w:pPr>
            <w:r>
              <w:rPr>
                <w:b w:val="0"/>
                <w:sz w:val="15"/>
              </w:rPr>
              <w:t>Primary and DR immutable storage in proposed design.</w:t>
            </w:r>
          </w:p>
        </w:tc>
        <w:tc>
          <w:tcPr>
            <w:tcW w:w="3485" w:type="dxa"/>
            <w:shd w:val="clear" w:color="auto" w:fill="E2F0D9"/>
            <w:vAlign w:val="center"/>
          </w:tcPr>
          <w:p w14:paraId="40B9D301">
            <w:pPr>
              <w:pStyle w:val="164"/>
              <w:spacing w:after="0" w:line="240" w:lineRule="auto"/>
            </w:pPr>
            <w:r>
              <w:rPr>
                <w:b w:val="0"/>
                <w:sz w:val="15"/>
              </w:rPr>
              <w:t>Covered</w:t>
            </w:r>
          </w:p>
        </w:tc>
      </w:tr>
      <w:tr w14:paraId="0417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1CFF40C">
            <w:pPr>
              <w:pStyle w:val="164"/>
              <w:spacing w:after="0" w:line="240" w:lineRule="auto"/>
            </w:pPr>
            <w:r>
              <w:rPr>
                <w:b w:val="0"/>
                <w:sz w:val="15"/>
              </w:rPr>
              <w:t>DR environment</w:t>
            </w:r>
          </w:p>
        </w:tc>
        <w:tc>
          <w:tcPr>
            <w:tcW w:w="3485" w:type="dxa"/>
            <w:vAlign w:val="center"/>
          </w:tcPr>
          <w:p w14:paraId="328B6D6C">
            <w:pPr>
              <w:pStyle w:val="164"/>
              <w:spacing w:after="0" w:line="240" w:lineRule="auto"/>
            </w:pPr>
            <w:r>
              <w:rPr>
                <w:b w:val="0"/>
                <w:sz w:val="15"/>
              </w:rPr>
              <w:t>2-node consolidated DR cluster + independent &gt;=20 TB usable SAN.</w:t>
            </w:r>
          </w:p>
        </w:tc>
        <w:tc>
          <w:tcPr>
            <w:tcW w:w="3485" w:type="dxa"/>
            <w:shd w:val="clear" w:color="auto" w:fill="E2F0D9"/>
            <w:vAlign w:val="center"/>
          </w:tcPr>
          <w:p w14:paraId="0918DBE3">
            <w:pPr>
              <w:pStyle w:val="164"/>
              <w:spacing w:after="0" w:line="240" w:lineRule="auto"/>
            </w:pPr>
            <w:r>
              <w:rPr>
                <w:b w:val="0"/>
                <w:sz w:val="15"/>
              </w:rPr>
              <w:t>Covered</w:t>
            </w:r>
          </w:p>
        </w:tc>
      </w:tr>
      <w:tr w14:paraId="1D1F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6DC94789">
            <w:pPr>
              <w:pStyle w:val="164"/>
              <w:spacing w:after="0" w:line="240" w:lineRule="auto"/>
            </w:pPr>
            <w:r>
              <w:rPr>
                <w:b w:val="0"/>
                <w:sz w:val="15"/>
              </w:rPr>
              <w:t>HSM</w:t>
            </w:r>
          </w:p>
        </w:tc>
        <w:tc>
          <w:tcPr>
            <w:tcW w:w="3485" w:type="dxa"/>
            <w:vAlign w:val="center"/>
          </w:tcPr>
          <w:p w14:paraId="4B8721C6">
            <w:pPr>
              <w:pStyle w:val="164"/>
              <w:spacing w:after="0" w:line="240" w:lineRule="auto"/>
            </w:pPr>
            <w:r>
              <w:rPr>
                <w:b w:val="0"/>
                <w:sz w:val="15"/>
              </w:rPr>
              <w:t>Included in updated security architecture; model/HA sizing to select.</w:t>
            </w:r>
          </w:p>
        </w:tc>
        <w:tc>
          <w:tcPr>
            <w:tcW w:w="3485" w:type="dxa"/>
            <w:shd w:val="clear" w:color="auto" w:fill="FCE4D6"/>
            <w:vAlign w:val="center"/>
          </w:tcPr>
          <w:p w14:paraId="7D4C944C">
            <w:pPr>
              <w:pStyle w:val="164"/>
              <w:spacing w:after="0" w:line="240" w:lineRule="auto"/>
            </w:pPr>
            <w:r>
              <w:rPr>
                <w:b w:val="0"/>
                <w:sz w:val="15"/>
              </w:rPr>
              <w:t>Additional product selection required</w:t>
            </w:r>
          </w:p>
        </w:tc>
      </w:tr>
      <w:tr w14:paraId="2098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3B2463E2">
            <w:pPr>
              <w:pStyle w:val="164"/>
              <w:spacing w:after="0" w:line="240" w:lineRule="auto"/>
            </w:pPr>
            <w:r>
              <w:rPr>
                <w:b w:val="0"/>
                <w:sz w:val="15"/>
              </w:rPr>
              <w:t>SIEM</w:t>
            </w:r>
          </w:p>
        </w:tc>
        <w:tc>
          <w:tcPr>
            <w:tcW w:w="3485" w:type="dxa"/>
            <w:vAlign w:val="center"/>
          </w:tcPr>
          <w:p w14:paraId="72340387">
            <w:pPr>
              <w:pStyle w:val="164"/>
              <w:spacing w:after="0" w:line="240" w:lineRule="auto"/>
            </w:pPr>
            <w:r>
              <w:rPr>
                <w:b w:val="0"/>
                <w:sz w:val="15"/>
              </w:rPr>
              <w:t>SIEM integration included.</w:t>
            </w:r>
          </w:p>
        </w:tc>
        <w:tc>
          <w:tcPr>
            <w:tcW w:w="3485" w:type="dxa"/>
            <w:shd w:val="clear" w:color="auto" w:fill="FFF2CC"/>
            <w:vAlign w:val="center"/>
          </w:tcPr>
          <w:p w14:paraId="590F4CB4">
            <w:pPr>
              <w:pStyle w:val="164"/>
              <w:spacing w:after="0" w:line="240" w:lineRule="auto"/>
            </w:pPr>
            <w:r>
              <w:rPr>
                <w:b w:val="0"/>
                <w:sz w:val="15"/>
              </w:rPr>
              <w:t>Covered - final product/integration</w:t>
            </w:r>
          </w:p>
        </w:tc>
      </w:tr>
      <w:tr w14:paraId="5226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206169C9">
            <w:pPr>
              <w:pStyle w:val="164"/>
              <w:spacing w:after="0" w:line="240" w:lineRule="auto"/>
            </w:pPr>
            <w:r>
              <w:rPr>
                <w:b w:val="0"/>
                <w:sz w:val="15"/>
              </w:rPr>
              <w:t>SOC</w:t>
            </w:r>
          </w:p>
        </w:tc>
        <w:tc>
          <w:tcPr>
            <w:tcW w:w="3485" w:type="dxa"/>
            <w:vAlign w:val="center"/>
          </w:tcPr>
          <w:p w14:paraId="22AF37E3">
            <w:pPr>
              <w:pStyle w:val="164"/>
              <w:spacing w:after="0" w:line="240" w:lineRule="auto"/>
            </w:pPr>
            <w:r>
              <w:rPr>
                <w:b w:val="0"/>
                <w:sz w:val="15"/>
              </w:rPr>
              <w:t>SOC capability/integration included.</w:t>
            </w:r>
          </w:p>
        </w:tc>
        <w:tc>
          <w:tcPr>
            <w:tcW w:w="3485" w:type="dxa"/>
            <w:shd w:val="clear" w:color="auto" w:fill="FFF2CC"/>
            <w:vAlign w:val="center"/>
          </w:tcPr>
          <w:p w14:paraId="55B93557">
            <w:pPr>
              <w:pStyle w:val="164"/>
              <w:spacing w:after="0" w:line="240" w:lineRule="auto"/>
            </w:pPr>
            <w:r>
              <w:rPr>
                <w:b w:val="0"/>
                <w:sz w:val="15"/>
              </w:rPr>
              <w:t>Covered - operational model to finalize</w:t>
            </w:r>
          </w:p>
        </w:tc>
      </w:tr>
      <w:tr w14:paraId="0276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C95CC17">
            <w:pPr>
              <w:pStyle w:val="164"/>
              <w:spacing w:after="0" w:line="240" w:lineRule="auto"/>
            </w:pPr>
            <w:r>
              <w:rPr>
                <w:b w:val="0"/>
                <w:sz w:val="15"/>
              </w:rPr>
              <w:t>Environmental monitoring</w:t>
            </w:r>
          </w:p>
        </w:tc>
        <w:tc>
          <w:tcPr>
            <w:tcW w:w="3485" w:type="dxa"/>
            <w:vAlign w:val="center"/>
          </w:tcPr>
          <w:p w14:paraId="12820C0F">
            <w:pPr>
              <w:pStyle w:val="164"/>
              <w:spacing w:after="0" w:line="240" w:lineRule="auto"/>
            </w:pPr>
            <w:r>
              <w:rPr>
                <w:b w:val="0"/>
                <w:sz w:val="15"/>
              </w:rPr>
              <w:t>Sensors/UPS monitoring integrated with monitoring platform.</w:t>
            </w:r>
          </w:p>
        </w:tc>
        <w:tc>
          <w:tcPr>
            <w:tcW w:w="3485" w:type="dxa"/>
            <w:shd w:val="clear" w:color="auto" w:fill="FFF2CC"/>
            <w:vAlign w:val="center"/>
          </w:tcPr>
          <w:p w14:paraId="57ED8816">
            <w:pPr>
              <w:pStyle w:val="164"/>
              <w:spacing w:after="0" w:line="240" w:lineRule="auto"/>
            </w:pPr>
            <w:r>
              <w:rPr>
                <w:b w:val="0"/>
                <w:sz w:val="15"/>
              </w:rPr>
              <w:t>Additional item required</w:t>
            </w:r>
          </w:p>
        </w:tc>
      </w:tr>
      <w:tr w14:paraId="5013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5" w:type="dxa"/>
            <w:vAlign w:val="center"/>
          </w:tcPr>
          <w:p w14:paraId="110922BE">
            <w:pPr>
              <w:pStyle w:val="164"/>
              <w:spacing w:after="0" w:line="240" w:lineRule="auto"/>
            </w:pPr>
            <w:r>
              <w:rPr>
                <w:b w:val="0"/>
                <w:sz w:val="15"/>
              </w:rPr>
              <w:t>Physical security/fire suppression</w:t>
            </w:r>
          </w:p>
        </w:tc>
        <w:tc>
          <w:tcPr>
            <w:tcW w:w="3485" w:type="dxa"/>
            <w:vAlign w:val="center"/>
          </w:tcPr>
          <w:p w14:paraId="786484D9">
            <w:pPr>
              <w:pStyle w:val="164"/>
              <w:spacing w:after="0" w:line="240" w:lineRule="auto"/>
            </w:pPr>
            <w:r>
              <w:rPr>
                <w:b w:val="0"/>
                <w:sz w:val="15"/>
              </w:rPr>
              <w:t>Included as facility requirements but products/sizing still to be added.</w:t>
            </w:r>
          </w:p>
        </w:tc>
        <w:tc>
          <w:tcPr>
            <w:tcW w:w="3485" w:type="dxa"/>
            <w:shd w:val="clear" w:color="auto" w:fill="FCE4D6"/>
            <w:vAlign w:val="center"/>
          </w:tcPr>
          <w:p w14:paraId="2D468A22">
            <w:pPr>
              <w:pStyle w:val="164"/>
              <w:spacing w:after="0" w:line="240" w:lineRule="auto"/>
            </w:pPr>
            <w:r>
              <w:rPr>
                <w:b w:val="0"/>
                <w:sz w:val="15"/>
              </w:rPr>
              <w:t>Additional item required</w:t>
            </w:r>
          </w:p>
        </w:tc>
      </w:tr>
    </w:tbl>
    <w:p w14:paraId="122CB774">
      <w:pPr>
        <w:spacing w:after="0"/>
      </w:pPr>
    </w:p>
    <w:p w14:paraId="712C7398">
      <w:pPr>
        <w:pStyle w:val="2"/>
      </w:pPr>
      <w:r>
        <w:t>13. Preliminary Hardware and Software BOM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2613"/>
        <w:gridCol w:w="2613"/>
        <w:gridCol w:w="2613"/>
      </w:tblGrid>
      <w:tr w14:paraId="0C9D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13" w:type="dxa"/>
            <w:shd w:val="clear" w:color="auto" w:fill="1F4E79"/>
            <w:vAlign w:val="center"/>
          </w:tcPr>
          <w:p w14:paraId="357478E3">
            <w:pPr>
              <w:pStyle w:val="164"/>
              <w:spacing w:after="0" w:line="240" w:lineRule="auto"/>
            </w:pPr>
            <w:r>
              <w:rPr>
                <w:b/>
                <w:color w:val="FFFFFF"/>
                <w:sz w:val="15"/>
              </w:rPr>
              <w:t>Component</w:t>
            </w:r>
          </w:p>
        </w:tc>
        <w:tc>
          <w:tcPr>
            <w:tcW w:w="2613" w:type="dxa"/>
            <w:shd w:val="clear" w:color="auto" w:fill="1F4E79"/>
            <w:vAlign w:val="center"/>
          </w:tcPr>
          <w:p w14:paraId="0F62207B">
            <w:pPr>
              <w:pStyle w:val="164"/>
              <w:spacing w:after="0" w:line="240" w:lineRule="auto"/>
            </w:pPr>
            <w:r>
              <w:rPr>
                <w:b/>
                <w:color w:val="FFFFFF"/>
                <w:sz w:val="15"/>
              </w:rPr>
              <w:t>Primary Site</w:t>
            </w:r>
          </w:p>
        </w:tc>
        <w:tc>
          <w:tcPr>
            <w:tcW w:w="2613" w:type="dxa"/>
            <w:shd w:val="clear" w:color="auto" w:fill="1F4E79"/>
            <w:vAlign w:val="center"/>
          </w:tcPr>
          <w:p w14:paraId="090EAC64">
            <w:pPr>
              <w:pStyle w:val="164"/>
              <w:spacing w:after="0" w:line="240" w:lineRule="auto"/>
            </w:pPr>
            <w:r>
              <w:rPr>
                <w:b/>
                <w:color w:val="FFFFFF"/>
                <w:sz w:val="15"/>
              </w:rPr>
              <w:t>DR Site</w:t>
            </w:r>
          </w:p>
        </w:tc>
        <w:tc>
          <w:tcPr>
            <w:tcW w:w="2613" w:type="dxa"/>
            <w:shd w:val="clear" w:color="auto" w:fill="1F4E79"/>
            <w:vAlign w:val="center"/>
          </w:tcPr>
          <w:p w14:paraId="480989AB">
            <w:pPr>
              <w:pStyle w:val="164"/>
              <w:spacing w:after="0" w:line="240" w:lineRule="auto"/>
            </w:pPr>
            <w:r>
              <w:rPr>
                <w:b/>
                <w:color w:val="FFFFFF"/>
                <w:sz w:val="15"/>
              </w:rPr>
              <w:t>Key Proposed Specification / Note</w:t>
            </w:r>
          </w:p>
        </w:tc>
      </w:tr>
      <w:tr w14:paraId="0070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2B42F32D">
            <w:pPr>
              <w:pStyle w:val="164"/>
              <w:spacing w:after="0" w:line="240" w:lineRule="auto"/>
            </w:pPr>
            <w:r>
              <w:rPr>
                <w:b w:val="0"/>
                <w:sz w:val="15"/>
              </w:rPr>
              <w:t>Hyper-V Application Hosts</w:t>
            </w:r>
          </w:p>
        </w:tc>
        <w:tc>
          <w:tcPr>
            <w:tcW w:w="2613" w:type="dxa"/>
            <w:vAlign w:val="center"/>
          </w:tcPr>
          <w:p w14:paraId="42445E6B">
            <w:pPr>
              <w:pStyle w:val="164"/>
              <w:spacing w:after="0" w:line="240" w:lineRule="auto"/>
            </w:pPr>
            <w:r>
              <w:rPr>
                <w:b w:val="0"/>
                <w:sz w:val="15"/>
              </w:rPr>
              <w:t>2</w:t>
            </w:r>
          </w:p>
        </w:tc>
        <w:tc>
          <w:tcPr>
            <w:tcW w:w="2613" w:type="dxa"/>
            <w:vAlign w:val="center"/>
          </w:tcPr>
          <w:p w14:paraId="12F88FDF">
            <w:pPr>
              <w:pStyle w:val="164"/>
              <w:spacing w:after="0" w:line="240" w:lineRule="auto"/>
            </w:pPr>
            <w:r>
              <w:rPr>
                <w:b w:val="0"/>
                <w:sz w:val="15"/>
              </w:rPr>
              <w:t>-</w:t>
            </w:r>
          </w:p>
        </w:tc>
        <w:tc>
          <w:tcPr>
            <w:tcW w:w="2613" w:type="dxa"/>
            <w:vAlign w:val="center"/>
          </w:tcPr>
          <w:p w14:paraId="5BEDECEE">
            <w:pPr>
              <w:pStyle w:val="164"/>
              <w:spacing w:after="0" w:line="240" w:lineRule="auto"/>
            </w:pPr>
            <w:r>
              <w:rPr>
                <w:b w:val="0"/>
                <w:sz w:val="15"/>
              </w:rPr>
              <w:t>24 physical cores, 256 GB RAM each; enterprise redundant PSU/NICs.</w:t>
            </w:r>
          </w:p>
        </w:tc>
      </w:tr>
      <w:tr w14:paraId="4D81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14B138CC">
            <w:pPr>
              <w:pStyle w:val="164"/>
              <w:spacing w:after="0" w:line="240" w:lineRule="auto"/>
            </w:pPr>
            <w:r>
              <w:rPr>
                <w:b w:val="0"/>
                <w:sz w:val="15"/>
              </w:rPr>
              <w:t>Hyper-V Database Hosts</w:t>
            </w:r>
          </w:p>
        </w:tc>
        <w:tc>
          <w:tcPr>
            <w:tcW w:w="2613" w:type="dxa"/>
            <w:vAlign w:val="center"/>
          </w:tcPr>
          <w:p w14:paraId="505F91EF">
            <w:pPr>
              <w:pStyle w:val="164"/>
              <w:spacing w:after="0" w:line="240" w:lineRule="auto"/>
            </w:pPr>
            <w:r>
              <w:rPr>
                <w:b w:val="0"/>
                <w:sz w:val="15"/>
              </w:rPr>
              <w:t>2</w:t>
            </w:r>
          </w:p>
        </w:tc>
        <w:tc>
          <w:tcPr>
            <w:tcW w:w="2613" w:type="dxa"/>
            <w:vAlign w:val="center"/>
          </w:tcPr>
          <w:p w14:paraId="16327A9F">
            <w:pPr>
              <w:pStyle w:val="164"/>
              <w:spacing w:after="0" w:line="240" w:lineRule="auto"/>
            </w:pPr>
            <w:r>
              <w:rPr>
                <w:b w:val="0"/>
                <w:sz w:val="15"/>
              </w:rPr>
              <w:t>-</w:t>
            </w:r>
          </w:p>
        </w:tc>
        <w:tc>
          <w:tcPr>
            <w:tcW w:w="2613" w:type="dxa"/>
            <w:vAlign w:val="center"/>
          </w:tcPr>
          <w:p w14:paraId="34DB3ED1">
            <w:pPr>
              <w:pStyle w:val="164"/>
              <w:spacing w:after="0" w:line="240" w:lineRule="auto"/>
            </w:pPr>
            <w:r>
              <w:rPr>
                <w:b w:val="0"/>
                <w:sz w:val="15"/>
              </w:rPr>
              <w:t>24 physical cores, 256 GB RAM each; dedicated DB cluster.</w:t>
            </w:r>
          </w:p>
        </w:tc>
      </w:tr>
      <w:tr w14:paraId="24FD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670A1B80">
            <w:pPr>
              <w:pStyle w:val="164"/>
              <w:spacing w:after="0" w:line="240" w:lineRule="auto"/>
            </w:pPr>
            <w:r>
              <w:rPr>
                <w:b w:val="0"/>
                <w:sz w:val="15"/>
              </w:rPr>
              <w:t>Hyper-V Consolidated DR Hosts</w:t>
            </w:r>
          </w:p>
        </w:tc>
        <w:tc>
          <w:tcPr>
            <w:tcW w:w="2613" w:type="dxa"/>
            <w:vAlign w:val="center"/>
          </w:tcPr>
          <w:p w14:paraId="1D050A2C">
            <w:pPr>
              <w:pStyle w:val="164"/>
              <w:spacing w:after="0" w:line="240" w:lineRule="auto"/>
            </w:pPr>
            <w:r>
              <w:rPr>
                <w:b w:val="0"/>
                <w:sz w:val="15"/>
              </w:rPr>
              <w:t>-</w:t>
            </w:r>
          </w:p>
        </w:tc>
        <w:tc>
          <w:tcPr>
            <w:tcW w:w="2613" w:type="dxa"/>
            <w:vAlign w:val="center"/>
          </w:tcPr>
          <w:p w14:paraId="3B826EB7">
            <w:pPr>
              <w:pStyle w:val="164"/>
              <w:spacing w:after="0" w:line="240" w:lineRule="auto"/>
            </w:pPr>
            <w:r>
              <w:rPr>
                <w:b w:val="0"/>
                <w:sz w:val="15"/>
              </w:rPr>
              <w:t>2</w:t>
            </w:r>
          </w:p>
        </w:tc>
        <w:tc>
          <w:tcPr>
            <w:tcW w:w="2613" w:type="dxa"/>
            <w:vAlign w:val="center"/>
          </w:tcPr>
          <w:p w14:paraId="481A7C31">
            <w:pPr>
              <w:pStyle w:val="164"/>
              <w:spacing w:after="0" w:line="240" w:lineRule="auto"/>
            </w:pPr>
            <w:r>
              <w:rPr>
                <w:b w:val="0"/>
                <w:sz w:val="15"/>
              </w:rPr>
              <w:t>24 physical cores, 256 GB RAM each; hosts App + DB recovery VMs.</w:t>
            </w:r>
          </w:p>
        </w:tc>
      </w:tr>
      <w:tr w14:paraId="309D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171CDAD7">
            <w:pPr>
              <w:pStyle w:val="164"/>
              <w:spacing w:after="0" w:line="240" w:lineRule="auto"/>
            </w:pPr>
            <w:r>
              <w:rPr>
                <w:b w:val="0"/>
                <w:sz w:val="15"/>
              </w:rPr>
              <w:t>Shared SAN</w:t>
            </w:r>
          </w:p>
        </w:tc>
        <w:tc>
          <w:tcPr>
            <w:tcW w:w="2613" w:type="dxa"/>
            <w:vAlign w:val="center"/>
          </w:tcPr>
          <w:p w14:paraId="30A3C33C">
            <w:pPr>
              <w:pStyle w:val="164"/>
              <w:spacing w:after="0" w:line="240" w:lineRule="auto"/>
            </w:pPr>
            <w:r>
              <w:rPr>
                <w:b w:val="0"/>
                <w:sz w:val="15"/>
              </w:rPr>
              <w:t>1</w:t>
            </w:r>
          </w:p>
        </w:tc>
        <w:tc>
          <w:tcPr>
            <w:tcW w:w="2613" w:type="dxa"/>
            <w:vAlign w:val="center"/>
          </w:tcPr>
          <w:p w14:paraId="4024F73A">
            <w:pPr>
              <w:pStyle w:val="164"/>
              <w:spacing w:after="0" w:line="240" w:lineRule="auto"/>
            </w:pPr>
            <w:r>
              <w:rPr>
                <w:b w:val="0"/>
                <w:sz w:val="15"/>
              </w:rPr>
              <w:t>1</w:t>
            </w:r>
          </w:p>
        </w:tc>
        <w:tc>
          <w:tcPr>
            <w:tcW w:w="2613" w:type="dxa"/>
            <w:vAlign w:val="center"/>
          </w:tcPr>
          <w:p w14:paraId="5C6966B0">
            <w:pPr>
              <w:pStyle w:val="164"/>
              <w:spacing w:after="0" w:line="240" w:lineRule="auto"/>
            </w:pPr>
            <w:r>
              <w:rPr>
                <w:b w:val="0"/>
                <w:sz w:val="15"/>
              </w:rPr>
              <w:t>&gt;=20 TB usable per site, dual controller, enterprise SSD/SAS or appropriate tier, redundant FC/iSCSI.</w:t>
            </w:r>
          </w:p>
        </w:tc>
      </w:tr>
      <w:tr w14:paraId="5081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0ED3539D">
            <w:pPr>
              <w:pStyle w:val="164"/>
              <w:spacing w:after="0" w:line="240" w:lineRule="auto"/>
            </w:pPr>
            <w:r>
              <w:rPr>
                <w:b w:val="0"/>
                <w:sz w:val="15"/>
              </w:rPr>
              <w:t>Core L3 Switches</w:t>
            </w:r>
          </w:p>
        </w:tc>
        <w:tc>
          <w:tcPr>
            <w:tcW w:w="2613" w:type="dxa"/>
            <w:vAlign w:val="center"/>
          </w:tcPr>
          <w:p w14:paraId="71146898">
            <w:pPr>
              <w:pStyle w:val="164"/>
              <w:spacing w:after="0" w:line="240" w:lineRule="auto"/>
            </w:pPr>
            <w:r>
              <w:rPr>
                <w:b w:val="0"/>
                <w:sz w:val="15"/>
              </w:rPr>
              <w:t>2</w:t>
            </w:r>
          </w:p>
        </w:tc>
        <w:tc>
          <w:tcPr>
            <w:tcW w:w="2613" w:type="dxa"/>
            <w:vAlign w:val="center"/>
          </w:tcPr>
          <w:p w14:paraId="3725C5B4">
            <w:pPr>
              <w:pStyle w:val="164"/>
              <w:spacing w:after="0" w:line="240" w:lineRule="auto"/>
            </w:pPr>
            <w:r>
              <w:rPr>
                <w:b w:val="0"/>
                <w:sz w:val="15"/>
              </w:rPr>
              <w:t>2</w:t>
            </w:r>
          </w:p>
        </w:tc>
        <w:tc>
          <w:tcPr>
            <w:tcW w:w="2613" w:type="dxa"/>
            <w:vAlign w:val="center"/>
          </w:tcPr>
          <w:p w14:paraId="5194E653">
            <w:pPr>
              <w:pStyle w:val="164"/>
              <w:spacing w:after="0" w:line="240" w:lineRule="auto"/>
            </w:pPr>
            <w:r>
              <w:rPr>
                <w:b w:val="0"/>
                <w:sz w:val="15"/>
              </w:rPr>
              <w:t>Redundant/stack/MLAG/VRRP-equivalent design.</w:t>
            </w:r>
          </w:p>
        </w:tc>
      </w:tr>
      <w:tr w14:paraId="2707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0B14B046">
            <w:pPr>
              <w:pStyle w:val="164"/>
              <w:spacing w:after="0" w:line="240" w:lineRule="auto"/>
            </w:pPr>
            <w:r>
              <w:rPr>
                <w:b w:val="0"/>
                <w:sz w:val="15"/>
              </w:rPr>
              <w:t>Edge/Access Switches</w:t>
            </w:r>
          </w:p>
        </w:tc>
        <w:tc>
          <w:tcPr>
            <w:tcW w:w="2613" w:type="dxa"/>
            <w:vAlign w:val="center"/>
          </w:tcPr>
          <w:p w14:paraId="7C1B1BC0">
            <w:pPr>
              <w:pStyle w:val="164"/>
              <w:spacing w:after="0" w:line="240" w:lineRule="auto"/>
            </w:pPr>
            <w:r>
              <w:rPr>
                <w:b w:val="0"/>
                <w:sz w:val="15"/>
              </w:rPr>
              <w:t>2</w:t>
            </w:r>
          </w:p>
        </w:tc>
        <w:tc>
          <w:tcPr>
            <w:tcW w:w="2613" w:type="dxa"/>
            <w:vAlign w:val="center"/>
          </w:tcPr>
          <w:p w14:paraId="681980DC">
            <w:pPr>
              <w:pStyle w:val="164"/>
              <w:spacing w:after="0" w:line="240" w:lineRule="auto"/>
            </w:pPr>
            <w:r>
              <w:rPr>
                <w:b w:val="0"/>
                <w:sz w:val="15"/>
              </w:rPr>
              <w:t>2</w:t>
            </w:r>
          </w:p>
        </w:tc>
        <w:tc>
          <w:tcPr>
            <w:tcW w:w="2613" w:type="dxa"/>
            <w:vAlign w:val="center"/>
          </w:tcPr>
          <w:p w14:paraId="70BDCE23">
            <w:pPr>
              <w:pStyle w:val="164"/>
              <w:spacing w:after="0" w:line="240" w:lineRule="auto"/>
            </w:pPr>
            <w:r>
              <w:rPr>
                <w:b w:val="0"/>
                <w:sz w:val="15"/>
              </w:rPr>
              <w:t>Redundant managed PoE+ access switches; 24/48 port subject to final port count.</w:t>
            </w:r>
          </w:p>
        </w:tc>
      </w:tr>
      <w:tr w14:paraId="7263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7EFCC4B7">
            <w:pPr>
              <w:pStyle w:val="164"/>
              <w:spacing w:after="0" w:line="240" w:lineRule="auto"/>
            </w:pPr>
            <w:r>
              <w:rPr>
                <w:b w:val="0"/>
                <w:sz w:val="15"/>
              </w:rPr>
              <w:t>NGFW</w:t>
            </w:r>
          </w:p>
        </w:tc>
        <w:tc>
          <w:tcPr>
            <w:tcW w:w="2613" w:type="dxa"/>
            <w:vAlign w:val="center"/>
          </w:tcPr>
          <w:p w14:paraId="216213B2">
            <w:pPr>
              <w:pStyle w:val="164"/>
              <w:spacing w:after="0" w:line="240" w:lineRule="auto"/>
            </w:pPr>
            <w:r>
              <w:rPr>
                <w:b w:val="0"/>
                <w:sz w:val="15"/>
              </w:rPr>
              <w:t>HA pair</w:t>
            </w:r>
          </w:p>
        </w:tc>
        <w:tc>
          <w:tcPr>
            <w:tcW w:w="2613" w:type="dxa"/>
            <w:vAlign w:val="center"/>
          </w:tcPr>
          <w:p w14:paraId="6D22B73B">
            <w:pPr>
              <w:pStyle w:val="164"/>
              <w:spacing w:after="0" w:line="240" w:lineRule="auto"/>
            </w:pPr>
            <w:r>
              <w:rPr>
                <w:b w:val="0"/>
                <w:sz w:val="15"/>
              </w:rPr>
              <w:t>HA/resilient pair</w:t>
            </w:r>
          </w:p>
        </w:tc>
        <w:tc>
          <w:tcPr>
            <w:tcW w:w="2613" w:type="dxa"/>
            <w:vAlign w:val="center"/>
          </w:tcPr>
          <w:p w14:paraId="4FC12190">
            <w:pPr>
              <w:pStyle w:val="164"/>
              <w:spacing w:after="0" w:line="240" w:lineRule="auto"/>
            </w:pPr>
            <w:r>
              <w:rPr>
                <w:b w:val="0"/>
                <w:sz w:val="15"/>
              </w:rPr>
              <w:t>Security subscriptions/IPS/VPN; final sizing from throughput and sessions.</w:t>
            </w:r>
          </w:p>
        </w:tc>
      </w:tr>
      <w:tr w14:paraId="0AF2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0743CBDA">
            <w:pPr>
              <w:pStyle w:val="164"/>
              <w:spacing w:after="0" w:line="240" w:lineRule="auto"/>
            </w:pPr>
            <w:r>
              <w:rPr>
                <w:b w:val="0"/>
                <w:sz w:val="15"/>
              </w:rPr>
              <w:t>Backup Repository</w:t>
            </w:r>
          </w:p>
        </w:tc>
        <w:tc>
          <w:tcPr>
            <w:tcW w:w="2613" w:type="dxa"/>
            <w:vAlign w:val="center"/>
          </w:tcPr>
          <w:p w14:paraId="2C41AE11">
            <w:pPr>
              <w:pStyle w:val="164"/>
              <w:spacing w:after="0" w:line="240" w:lineRule="auto"/>
            </w:pPr>
            <w:r>
              <w:rPr>
                <w:b w:val="0"/>
                <w:sz w:val="15"/>
              </w:rPr>
              <w:t>1</w:t>
            </w:r>
          </w:p>
        </w:tc>
        <w:tc>
          <w:tcPr>
            <w:tcW w:w="2613" w:type="dxa"/>
            <w:vAlign w:val="center"/>
          </w:tcPr>
          <w:p w14:paraId="75C8BAB8">
            <w:pPr>
              <w:pStyle w:val="164"/>
              <w:spacing w:after="0" w:line="240" w:lineRule="auto"/>
            </w:pPr>
            <w:r>
              <w:rPr>
                <w:b w:val="0"/>
                <w:sz w:val="15"/>
              </w:rPr>
              <w:t>1</w:t>
            </w:r>
          </w:p>
        </w:tc>
        <w:tc>
          <w:tcPr>
            <w:tcW w:w="2613" w:type="dxa"/>
            <w:vAlign w:val="center"/>
          </w:tcPr>
          <w:p w14:paraId="2E757BD5">
            <w:pPr>
              <w:pStyle w:val="164"/>
              <w:spacing w:after="0" w:line="240" w:lineRule="auto"/>
            </w:pPr>
            <w:r>
              <w:rPr>
                <w:b w:val="0"/>
                <w:sz w:val="15"/>
              </w:rPr>
              <w:t>Encrypted; capacity TBD from retention/change-rate sizing.</w:t>
            </w:r>
          </w:p>
        </w:tc>
      </w:tr>
      <w:tr w14:paraId="2B3D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1D833B33">
            <w:pPr>
              <w:pStyle w:val="164"/>
              <w:spacing w:after="0" w:line="240" w:lineRule="auto"/>
            </w:pPr>
            <w:r>
              <w:rPr>
                <w:b w:val="0"/>
                <w:sz w:val="15"/>
              </w:rPr>
              <w:t>Immutable Backup Storage</w:t>
            </w:r>
          </w:p>
        </w:tc>
        <w:tc>
          <w:tcPr>
            <w:tcW w:w="2613" w:type="dxa"/>
            <w:vAlign w:val="center"/>
          </w:tcPr>
          <w:p w14:paraId="2022EC58">
            <w:pPr>
              <w:pStyle w:val="164"/>
              <w:spacing w:after="0" w:line="240" w:lineRule="auto"/>
            </w:pPr>
            <w:r>
              <w:rPr>
                <w:b w:val="0"/>
                <w:sz w:val="15"/>
              </w:rPr>
              <w:t>1</w:t>
            </w:r>
          </w:p>
        </w:tc>
        <w:tc>
          <w:tcPr>
            <w:tcW w:w="2613" w:type="dxa"/>
            <w:vAlign w:val="center"/>
          </w:tcPr>
          <w:p w14:paraId="60A5C6EE">
            <w:pPr>
              <w:pStyle w:val="164"/>
              <w:spacing w:after="0" w:line="240" w:lineRule="auto"/>
            </w:pPr>
            <w:r>
              <w:rPr>
                <w:b w:val="0"/>
                <w:sz w:val="15"/>
              </w:rPr>
              <w:t>1</w:t>
            </w:r>
          </w:p>
        </w:tc>
        <w:tc>
          <w:tcPr>
            <w:tcW w:w="2613" w:type="dxa"/>
            <w:vAlign w:val="center"/>
          </w:tcPr>
          <w:p w14:paraId="532DBFE2">
            <w:pPr>
              <w:pStyle w:val="164"/>
              <w:spacing w:after="0" w:line="240" w:lineRule="auto"/>
            </w:pPr>
            <w:r>
              <w:rPr>
                <w:b w:val="0"/>
                <w:sz w:val="15"/>
              </w:rPr>
              <w:t>Anti-ransomware immutable target; capacity TBD.</w:t>
            </w:r>
          </w:p>
        </w:tc>
      </w:tr>
      <w:tr w14:paraId="5F39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74704566">
            <w:pPr>
              <w:pStyle w:val="164"/>
              <w:spacing w:after="0" w:line="240" w:lineRule="auto"/>
            </w:pPr>
            <w:r>
              <w:rPr>
                <w:b w:val="0"/>
                <w:sz w:val="15"/>
              </w:rPr>
              <w:t>HSM</w:t>
            </w:r>
          </w:p>
        </w:tc>
        <w:tc>
          <w:tcPr>
            <w:tcW w:w="2613" w:type="dxa"/>
            <w:vAlign w:val="center"/>
          </w:tcPr>
          <w:p w14:paraId="10A01438">
            <w:pPr>
              <w:pStyle w:val="164"/>
              <w:spacing w:after="0" w:line="240" w:lineRule="auto"/>
            </w:pPr>
            <w:r>
              <w:rPr>
                <w:b w:val="0"/>
                <w:sz w:val="15"/>
              </w:rPr>
              <w:t>TBD</w:t>
            </w:r>
          </w:p>
        </w:tc>
        <w:tc>
          <w:tcPr>
            <w:tcW w:w="2613" w:type="dxa"/>
            <w:vAlign w:val="center"/>
          </w:tcPr>
          <w:p w14:paraId="663C29C4">
            <w:pPr>
              <w:pStyle w:val="164"/>
              <w:spacing w:after="0" w:line="240" w:lineRule="auto"/>
            </w:pPr>
            <w:r>
              <w:rPr>
                <w:b w:val="0"/>
                <w:sz w:val="15"/>
              </w:rPr>
              <w:t>TBD / recovery design</w:t>
            </w:r>
          </w:p>
        </w:tc>
        <w:tc>
          <w:tcPr>
            <w:tcW w:w="2613" w:type="dxa"/>
            <w:vAlign w:val="center"/>
          </w:tcPr>
          <w:p w14:paraId="67DC1A2E">
            <w:pPr>
              <w:pStyle w:val="164"/>
              <w:spacing w:after="0" w:line="240" w:lineRule="auto"/>
            </w:pPr>
            <w:r>
              <w:rPr>
                <w:b w:val="0"/>
                <w:sz w:val="15"/>
              </w:rPr>
              <w:t>FIPS 140-2/140-3 aligned as required; final quantity/HA/DR model to define.</w:t>
            </w:r>
          </w:p>
        </w:tc>
      </w:tr>
      <w:tr w14:paraId="05DE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3310D367">
            <w:pPr>
              <w:pStyle w:val="164"/>
              <w:spacing w:after="0" w:line="240" w:lineRule="auto"/>
            </w:pPr>
            <w:r>
              <w:rPr>
                <w:b w:val="0"/>
                <w:sz w:val="15"/>
              </w:rPr>
              <w:t>SIEM</w:t>
            </w:r>
          </w:p>
        </w:tc>
        <w:tc>
          <w:tcPr>
            <w:tcW w:w="2613" w:type="dxa"/>
            <w:vAlign w:val="center"/>
          </w:tcPr>
          <w:p w14:paraId="0A62369C">
            <w:pPr>
              <w:pStyle w:val="164"/>
              <w:spacing w:after="0" w:line="240" w:lineRule="auto"/>
            </w:pPr>
            <w:r>
              <w:rPr>
                <w:b w:val="0"/>
                <w:sz w:val="15"/>
              </w:rPr>
              <w:t>Integration / platform</w:t>
            </w:r>
          </w:p>
        </w:tc>
        <w:tc>
          <w:tcPr>
            <w:tcW w:w="2613" w:type="dxa"/>
            <w:vAlign w:val="center"/>
          </w:tcPr>
          <w:p w14:paraId="74BBE903">
            <w:pPr>
              <w:pStyle w:val="164"/>
              <w:spacing w:after="0" w:line="240" w:lineRule="auto"/>
            </w:pPr>
            <w:r>
              <w:rPr>
                <w:b w:val="0"/>
                <w:sz w:val="15"/>
              </w:rPr>
              <w:t>Integration</w:t>
            </w:r>
          </w:p>
        </w:tc>
        <w:tc>
          <w:tcPr>
            <w:tcW w:w="2613" w:type="dxa"/>
            <w:vAlign w:val="center"/>
          </w:tcPr>
          <w:p w14:paraId="1CDECCA5">
            <w:pPr>
              <w:pStyle w:val="164"/>
              <w:spacing w:after="0" w:line="240" w:lineRule="auto"/>
            </w:pPr>
            <w:r>
              <w:rPr>
                <w:b w:val="0"/>
                <w:sz w:val="15"/>
              </w:rPr>
              <w:t>Centralized security-event collection and monitoring.</w:t>
            </w:r>
          </w:p>
        </w:tc>
      </w:tr>
      <w:tr w14:paraId="7B41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2427F845">
            <w:pPr>
              <w:pStyle w:val="164"/>
              <w:spacing w:after="0" w:line="240" w:lineRule="auto"/>
            </w:pPr>
            <w:r>
              <w:rPr>
                <w:b w:val="0"/>
                <w:sz w:val="15"/>
              </w:rPr>
              <w:t>SOC</w:t>
            </w:r>
          </w:p>
        </w:tc>
        <w:tc>
          <w:tcPr>
            <w:tcW w:w="2613" w:type="dxa"/>
            <w:vAlign w:val="center"/>
          </w:tcPr>
          <w:p w14:paraId="01B8499C">
            <w:pPr>
              <w:pStyle w:val="164"/>
              <w:spacing w:after="0" w:line="240" w:lineRule="auto"/>
            </w:pPr>
            <w:r>
              <w:rPr>
                <w:b w:val="0"/>
                <w:sz w:val="15"/>
              </w:rPr>
              <w:t>Capability/integration</w:t>
            </w:r>
          </w:p>
        </w:tc>
        <w:tc>
          <w:tcPr>
            <w:tcW w:w="2613" w:type="dxa"/>
            <w:vAlign w:val="center"/>
          </w:tcPr>
          <w:p w14:paraId="080A4A2C">
            <w:pPr>
              <w:pStyle w:val="164"/>
              <w:spacing w:after="0" w:line="240" w:lineRule="auto"/>
            </w:pPr>
            <w:r>
              <w:rPr>
                <w:b w:val="0"/>
                <w:sz w:val="15"/>
              </w:rPr>
              <w:t>Capability/integration</w:t>
            </w:r>
          </w:p>
        </w:tc>
        <w:tc>
          <w:tcPr>
            <w:tcW w:w="2613" w:type="dxa"/>
            <w:vAlign w:val="center"/>
          </w:tcPr>
          <w:p w14:paraId="7F96ADC9">
            <w:pPr>
              <w:pStyle w:val="164"/>
              <w:spacing w:after="0" w:line="240" w:lineRule="auto"/>
            </w:pPr>
            <w:r>
              <w:rPr>
                <w:b w:val="0"/>
                <w:sz w:val="15"/>
              </w:rPr>
              <w:t>24/7 monitoring model to define.</w:t>
            </w:r>
          </w:p>
        </w:tc>
      </w:tr>
      <w:tr w14:paraId="0F30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07946CB9">
            <w:pPr>
              <w:pStyle w:val="164"/>
              <w:spacing w:after="0" w:line="240" w:lineRule="auto"/>
            </w:pPr>
            <w:r>
              <w:rPr>
                <w:b w:val="0"/>
                <w:sz w:val="15"/>
              </w:rPr>
              <w:t>Windows Server / Hyper-V</w:t>
            </w:r>
          </w:p>
        </w:tc>
        <w:tc>
          <w:tcPr>
            <w:tcW w:w="2613" w:type="dxa"/>
            <w:vAlign w:val="center"/>
          </w:tcPr>
          <w:p w14:paraId="57E0D0EC">
            <w:pPr>
              <w:pStyle w:val="164"/>
              <w:spacing w:after="0" w:line="240" w:lineRule="auto"/>
            </w:pPr>
            <w:r>
              <w:rPr>
                <w:b w:val="0"/>
                <w:sz w:val="15"/>
              </w:rPr>
              <w:t>Licensed for 4 hosts</w:t>
            </w:r>
          </w:p>
        </w:tc>
        <w:tc>
          <w:tcPr>
            <w:tcW w:w="2613" w:type="dxa"/>
            <w:vAlign w:val="center"/>
          </w:tcPr>
          <w:p w14:paraId="3EF24509">
            <w:pPr>
              <w:pStyle w:val="164"/>
              <w:spacing w:after="0" w:line="240" w:lineRule="auto"/>
            </w:pPr>
            <w:r>
              <w:rPr>
                <w:b w:val="0"/>
                <w:sz w:val="15"/>
              </w:rPr>
              <w:t>Licensed for 2 hosts</w:t>
            </w:r>
          </w:p>
        </w:tc>
        <w:tc>
          <w:tcPr>
            <w:tcW w:w="2613" w:type="dxa"/>
            <w:vAlign w:val="center"/>
          </w:tcPr>
          <w:p w14:paraId="72532E67">
            <w:pPr>
              <w:pStyle w:val="164"/>
              <w:spacing w:after="0" w:line="240" w:lineRule="auto"/>
            </w:pPr>
            <w:r>
              <w:rPr>
                <w:b w:val="0"/>
                <w:sz w:val="15"/>
              </w:rPr>
              <w:t>Edition/licensing sized to VM rights and cluster features.</w:t>
            </w:r>
          </w:p>
        </w:tc>
      </w:tr>
      <w:tr w14:paraId="523A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3" w:type="dxa"/>
            <w:vAlign w:val="center"/>
          </w:tcPr>
          <w:p w14:paraId="6FD9AEF1">
            <w:pPr>
              <w:pStyle w:val="164"/>
              <w:spacing w:after="0" w:line="240" w:lineRule="auto"/>
            </w:pPr>
            <w:r>
              <w:rPr>
                <w:b w:val="0"/>
                <w:sz w:val="15"/>
              </w:rPr>
              <w:t>Veeam Backup &amp; Replication</w:t>
            </w:r>
          </w:p>
        </w:tc>
        <w:tc>
          <w:tcPr>
            <w:tcW w:w="2613" w:type="dxa"/>
            <w:vAlign w:val="center"/>
          </w:tcPr>
          <w:p w14:paraId="4C9C3BD4">
            <w:pPr>
              <w:pStyle w:val="164"/>
              <w:spacing w:after="0" w:line="240" w:lineRule="auto"/>
            </w:pPr>
            <w:r>
              <w:rPr>
                <w:b w:val="0"/>
                <w:sz w:val="15"/>
              </w:rPr>
              <w:t>Yes</w:t>
            </w:r>
          </w:p>
        </w:tc>
        <w:tc>
          <w:tcPr>
            <w:tcW w:w="2613" w:type="dxa"/>
            <w:vAlign w:val="center"/>
          </w:tcPr>
          <w:p w14:paraId="0B2D6C6F">
            <w:pPr>
              <w:pStyle w:val="164"/>
              <w:spacing w:after="0" w:line="240" w:lineRule="auto"/>
            </w:pPr>
            <w:r>
              <w:rPr>
                <w:b w:val="0"/>
                <w:sz w:val="15"/>
              </w:rPr>
              <w:t>Repository/replication target</w:t>
            </w:r>
          </w:p>
        </w:tc>
        <w:tc>
          <w:tcPr>
            <w:tcW w:w="2613" w:type="dxa"/>
            <w:vAlign w:val="center"/>
          </w:tcPr>
          <w:p w14:paraId="5A74CB2D">
            <w:pPr>
              <w:pStyle w:val="164"/>
              <w:spacing w:after="0" w:line="240" w:lineRule="auto"/>
            </w:pPr>
            <w:r>
              <w:rPr>
                <w:b w:val="0"/>
                <w:sz w:val="15"/>
              </w:rPr>
              <w:t>Final licensing according to workload count and features.</w:t>
            </w:r>
          </w:p>
        </w:tc>
      </w:tr>
    </w:tbl>
    <w:p w14:paraId="07B9A697">
      <w:pPr>
        <w:spacing w:after="0"/>
      </w:pPr>
    </w:p>
    <w:p w14:paraId="7CCF6A75">
      <w:pPr>
        <w:pStyle w:val="2"/>
      </w:pPr>
      <w:r>
        <w:t>14. Items to Finalize Before Tender Submission</w:t>
      </w:r>
    </w:p>
    <w:p w14:paraId="27AC68D5">
      <w:pPr>
        <w:pStyle w:val="23"/>
      </w:pPr>
      <w:r>
        <w:t>Confirm final VM inventory and allocate the 15 production VMs between Application and Database clusters.</w:t>
      </w:r>
    </w:p>
    <w:p w14:paraId="4BED8140">
      <w:pPr>
        <w:pStyle w:val="23"/>
      </w:pPr>
      <w:r>
        <w:t>Confirm quantity and resource profile of Development, Training and Test VMs.</w:t>
      </w:r>
    </w:p>
    <w:p w14:paraId="1C30AC6E">
      <w:pPr>
        <w:pStyle w:val="23"/>
      </w:pPr>
      <w:r>
        <w:t>Validate that 24 cores / 256 GB per node provides required single-node-failure headroom for each Primary cluster and the consolidated DR cluster.</w:t>
      </w:r>
    </w:p>
    <w:p w14:paraId="00FAC65A">
      <w:pPr>
        <w:pStyle w:val="23"/>
      </w:pPr>
      <w:r>
        <w:t>Perform SAN capacity and performance sizing: usable capacity, IOPS, latency, RAID/protection overhead, snapshots, growth and database requirements.</w:t>
      </w:r>
    </w:p>
    <w:p w14:paraId="09B0A7E4">
      <w:pPr>
        <w:pStyle w:val="23"/>
      </w:pPr>
      <w:r>
        <w:t>Size Primary/DR backup repositories and immutable retention using source data, daily change rate, compression/deduplication assumptions and GFS policy.</w:t>
      </w:r>
    </w:p>
    <w:p w14:paraId="4A621EEC">
      <w:pPr>
        <w:pStyle w:val="23"/>
      </w:pPr>
      <w:r>
        <w:t>Calculate WAN bandwidth/latency required for &lt;=5-minute synchronization target where applicable.</w:t>
      </w:r>
    </w:p>
    <w:p w14:paraId="54D767A2">
      <w:pPr>
        <w:pStyle w:val="23"/>
      </w:pPr>
      <w:r>
        <w:t>Select HSM product, quantity, HA arrangement and DR/key-recovery design.</w:t>
      </w:r>
    </w:p>
    <w:p w14:paraId="78E68028">
      <w:pPr>
        <w:pStyle w:val="23"/>
      </w:pPr>
      <w:r>
        <w:t>Select SIEM product/integration approach and define SOC operating model.</w:t>
      </w:r>
    </w:p>
    <w:p w14:paraId="79A3B474">
      <w:pPr>
        <w:pStyle w:val="23"/>
      </w:pPr>
      <w:r>
        <w:t>Finalize NGFW, switch, optics, NIC/HBA, rack, UPS, generator/ATS, HVAC and environmental-monitoring sizing.</w:t>
      </w:r>
    </w:p>
    <w:p w14:paraId="081A2FEE">
      <w:pPr>
        <w:pStyle w:val="23"/>
      </w:pPr>
      <w:r>
        <w:t>Add physical security, CCTV and clean-agent fire suppression products to the final facility BOM.</w:t>
      </w:r>
    </w:p>
    <w:p w14:paraId="6BD78357">
      <w:pPr>
        <w:pStyle w:val="23"/>
      </w:pPr>
      <w:r>
        <w:t>Define FAT/SAT test cases for failover, DR, backup restore, performance, network redundancy and security monitoring.</w:t>
      </w:r>
    </w:p>
    <w:p w14:paraId="61209E59">
      <w:pPr>
        <w:pStyle w:val="2"/>
      </w:pPr>
      <w:r>
        <w:t>15. Conclusion</w:t>
      </w:r>
    </w:p>
    <w:p w14:paraId="15C8146D">
      <w:r>
        <w:t>The updated proposed architecture is aligned with the principal infrastructure requirements of the RFP and provides stronger workload separation at the Primary site through dedicated Application and Database clusters. The shared enterprise SAN design, redundant core and access networks, consolidated DR cluster, Veeam backup/replication, immutable backup protection, HSM, SIEM integration and SOC capability/integration provide a coherent enterprise architecture for the Central Printing Facility.</w:t>
      </w:r>
    </w:p>
    <w:p w14:paraId="12D53F9E">
      <w:r>
        <w:t>Final compliance should be declared after completion of detailed sizing, OEM/application compatibility confirmation, security-product selection, facility engineering and FAT/SAT acceptance criteria. The RFP-derived requirements and bidder-proposed design values should remain clearly distinguished in the final tender submission.</w:t>
      </w:r>
    </w:p>
    <w:p w14:paraId="790CBC12">
      <w:pPr>
        <w:pStyle w:val="2"/>
      </w:pPr>
      <w:r>
        <w:t>Appendix A - RFP Source Basis</w:t>
      </w:r>
    </w:p>
    <w:p w14:paraId="24813969">
      <w:r>
        <w:t>Primary source: Final RFB as issued for the Digital Malawi Acceleration Project, Section VII - Purchaser's Requirements. Relevant areas include Architectural Requirements (software, hardware, network and DR architecture), Systems Administration and Management, Software and Data Back-up and Recovery, Cybersecurity Requirements, Business Continuity and DR Security Plans, Facility Infrastructure, Performance Requirements, Testing/Commissioning and Technical Documentation. Page references are approximate because pagination may vary between rendered and printed copies.</w:t>
      </w:r>
    </w:p>
    <w:sectPr>
      <w:headerReference r:id="rId5" w:type="default"/>
      <w:footerReference r:id="rId6" w:type="default"/>
      <w:pgSz w:w="12240" w:h="15840"/>
      <w:pgMar w:top="893" w:right="893" w:bottom="893" w:left="89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C98CC">
    <w:pPr>
      <w:pStyle w:val="18"/>
      <w:jc w:val="center"/>
    </w:pPr>
    <w:r>
      <w:rPr>
        <w:color w:val="6E6E6E"/>
        <w:sz w:val="14"/>
      </w:rPr>
      <w:t>RFP No. MW-PPPC-546386-GO-RFB | Updated 30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8D44C">
    <w:pPr>
      <w:pStyle w:val="19"/>
      <w:jc w:val="right"/>
    </w:pPr>
    <w:r>
      <w:rPr>
        <w:color w:val="6E6E6E"/>
        <w:sz w:val="14"/>
      </w:rPr>
      <w:t>Digital Malawi Acceleration Project | Updated Proposed Infrastructure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F226A2"/>
    <w:rsid w:val="6CAE24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Small"/>
    <w:qFormat/>
    <w:uiPriority w:val="0"/>
    <w:pPr>
      <w:spacing w:after="200" w:line="276" w:lineRule="auto"/>
    </w:pPr>
    <w:rPr>
      <w:rFonts w:ascii="Aptos" w:hAnsi="Aptos" w:eastAsiaTheme="minorEastAsia" w:cstheme="minorBidi"/>
      <w:sz w:val="15"/>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2341</Words>
  <Characters>16146</Characters>
  <Lines>0</Lines>
  <Paragraphs>0</Paragraphs>
  <TotalTime>6</TotalTime>
  <ScaleCrop>false</ScaleCrop>
  <LinksUpToDate>false</LinksUpToDate>
  <CharactersWithSpaces>18145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Mohammad</cp:lastModifiedBy>
  <dcterms:modified xsi:type="dcterms:W3CDTF">2026-09-30T16:59:19Z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eyJoZGlkIjoiZjIyMmNmM2RlMTkzNjhlMDk5NGIzMDhjYWNjNDhiNmUifQ==</vt:lpwstr>
  </property>
  <property fmtid="{D5CDD505-2E9C-101B-9397-08002B2CF9AE}" pid="3" name="KSOProductBuildVer">
    <vt:lpwstr>1033-12.1.0.28485</vt:lpwstr>
  </property>
  <property fmtid="{D5CDD505-2E9C-101B-9397-08002B2CF9AE}" pid="4" name="ICV">
    <vt:lpwstr>8445472CB160448CA4C46EF0FDDCF7CF_12</vt:lpwstr>
  </property>
</Properties>
</file>