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color w:val="2F5496"/>
          <w:sz w:val="32"/>
          <w:szCs w:val="32"/>
        </w:rPr>
        <w:t xml:space="preserve">Power and Air Pressure Requirements</w:t>
      </w:r>
    </w:p>
    <w:p>
      <w:pPr>
        <w:spacing w:after="240"/>
      </w:pPr>
      <w:r>
        <w:rPr>
          <w:color w:val="595959"/>
          <w:sz w:val="22"/>
          <w:szCs w:val="22"/>
        </w:rPr>
        <w:t xml:space="preserve">Laser personalization systems. Response to Section VII clause 3.2.6.1.3</w:t>
      </w:r>
    </w:p>
    <w:p>
      <w:pPr>
        <w:pStyle w:val="Heading1"/>
        <w:spacing w:after="140" w:before="280"/>
      </w:pPr>
      <w:r>
        <w:t xml:space="preserve">1. Purpose</w:t>
      </w:r>
    </w:p>
    <w:p>
      <w:pPr>
        <w:spacing w:after="140" w:line="276"/>
      </w:pPr>
      <w:r>
        <w:t xml:space="preserve">This document sets out the electrical power and air pressure requirements of the personalization unit, as Section VII clause 3.2.6.1.3 requires. It covers the two laser personalization systems supplied, which are identical. The power figures are those of the manufacturer's datasheet, attached to the proposal as the laser personalization system datasheet.</w:t>
      </w:r>
    </w:p>
    <w:p>
      <w:pPr>
        <w:pStyle w:val="Heading1"/>
        <w:spacing w:after="140" w:before="280"/>
      </w:pPr>
      <w:r>
        <w:t xml:space="preserve">2. Electrical power requirements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600"/>
        <w:gridCol w:w="5420"/>
      </w:tblGrid>
      <w:tr>
        <w:trPr>
          <w:tblHeader/>
        </w:trPr>
        <w:tc>
          <w:tcPr>
            <w:tcW w:type="dxa" w:w="3600"/>
            <w:shd w:fill="EDEDED" w:val="clear"/>
            <w:tcMar>
              <w:top w:type="dxa" w:w="60"/>
              <w:left w:type="dxa" w:w="100"/>
              <w:bottom w:type="dxa" w:w="60"/>
              <w:right w:type="dxa" w:w="100"/>
            </w:tcMar>
          </w:tcPr>
          <w:p>
            <w:pPr>
              <w:spacing w:after="0" w:before="0"/>
            </w:pPr>
            <w:r>
              <w:rPr>
                <w:b/>
                <w:bCs/>
              </w:rPr>
              <w:t xml:space="preserve">Item</w:t>
            </w:r>
          </w:p>
        </w:tc>
        <w:tc>
          <w:tcPr>
            <w:tcW w:type="dxa" w:w="5420"/>
            <w:shd w:fill="EDEDED" w:val="clear"/>
            <w:tcMar>
              <w:top w:type="dxa" w:w="60"/>
              <w:left w:type="dxa" w:w="100"/>
              <w:bottom w:type="dxa" w:w="60"/>
              <w:right w:type="dxa" w:w="100"/>
            </w:tcMar>
          </w:tcPr>
          <w:p>
            <w:pPr>
              <w:spacing w:after="0" w:before="0"/>
            </w:pPr>
            <w:r>
              <w:rPr>
                <w:b/>
                <w:bCs/>
              </w:rPr>
              <w:t xml:space="preserve">Requirement</w:t>
            </w:r>
          </w:p>
        </w:tc>
      </w:tr>
      <w:tr>
        <w:tc>
          <w:tcPr>
            <w:tcW w:type="dxa" w:w="3600"/>
            <w:tcMar>
              <w:top w:type="dxa" w:w="60"/>
              <w:left w:type="dxa" w:w="100"/>
              <w:bottom w:type="dxa" w:w="60"/>
              <w:right w:type="dxa" w:w="100"/>
            </w:tcMar>
          </w:tcPr>
          <w:p>
            <w:pPr>
              <w:spacing w:after="0" w:before="0"/>
            </w:pPr>
            <w:r>
              <w:rPr>
                <w:b w:val="false"/>
                <w:bCs w:val="false"/>
              </w:rPr>
              <w:t xml:space="preserve">Supply voltage</w:t>
            </w:r>
          </w:p>
        </w:tc>
        <w:tc>
          <w:tcPr>
            <w:tcW w:type="dxa" w:w="5420"/>
            <w:tcMar>
              <w:top w:type="dxa" w:w="60"/>
              <w:left w:type="dxa" w:w="100"/>
              <w:bottom w:type="dxa" w:w="60"/>
              <w:right w:type="dxa" w:w="100"/>
            </w:tcMar>
          </w:tcPr>
          <w:p>
            <w:pPr>
              <w:spacing w:after="0" w:before="0"/>
            </w:pPr>
            <w:r>
              <w:rPr>
                <w:b w:val="false"/>
                <w:bCs w:val="false"/>
              </w:rPr>
              <w:t xml:space="preserve">100 to 240 VAC</w:t>
            </w:r>
          </w:p>
        </w:tc>
      </w:tr>
      <w:tr>
        <w:tc>
          <w:tcPr>
            <w:tcW w:type="dxa" w:w="3600"/>
            <w:tcMar>
              <w:top w:type="dxa" w:w="60"/>
              <w:left w:type="dxa" w:w="100"/>
              <w:bottom w:type="dxa" w:w="60"/>
              <w:right w:type="dxa" w:w="100"/>
            </w:tcMar>
          </w:tcPr>
          <w:p>
            <w:pPr>
              <w:spacing w:after="0" w:before="0"/>
            </w:pPr>
            <w:r>
              <w:rPr>
                <w:b w:val="false"/>
                <w:bCs w:val="false"/>
              </w:rPr>
              <w:t xml:space="preserve">Supply frequency</w:t>
            </w:r>
          </w:p>
        </w:tc>
        <w:tc>
          <w:tcPr>
            <w:tcW w:type="dxa" w:w="5420"/>
            <w:tcMar>
              <w:top w:type="dxa" w:w="60"/>
              <w:left w:type="dxa" w:w="100"/>
              <w:bottom w:type="dxa" w:w="60"/>
              <w:right w:type="dxa" w:w="100"/>
            </w:tcMar>
          </w:tcPr>
          <w:p>
            <w:pPr>
              <w:spacing w:after="0" w:before="0"/>
            </w:pPr>
            <w:r>
              <w:rPr>
                <w:b w:val="false"/>
                <w:bCs w:val="false"/>
              </w:rPr>
              <w:t xml:space="preserve">50/60 Hz</w:t>
            </w:r>
          </w:p>
        </w:tc>
      </w:tr>
      <w:tr>
        <w:tc>
          <w:tcPr>
            <w:tcW w:type="dxa" w:w="3600"/>
            <w:tcMar>
              <w:top w:type="dxa" w:w="60"/>
              <w:left w:type="dxa" w:w="100"/>
              <w:bottom w:type="dxa" w:w="60"/>
              <w:right w:type="dxa" w:w="100"/>
            </w:tcMar>
          </w:tcPr>
          <w:p>
            <w:pPr>
              <w:spacing w:after="0" w:before="0"/>
            </w:pPr>
            <w:r>
              <w:rPr>
                <w:b w:val="false"/>
                <w:bCs w:val="false"/>
              </w:rPr>
              <w:t xml:space="preserve">Power supply rating</w:t>
            </w:r>
          </w:p>
        </w:tc>
        <w:tc>
          <w:tcPr>
            <w:tcW w:type="dxa" w:w="5420"/>
            <w:tcMar>
              <w:top w:type="dxa" w:w="60"/>
              <w:left w:type="dxa" w:w="100"/>
              <w:bottom w:type="dxa" w:w="60"/>
              <w:right w:type="dxa" w:w="100"/>
            </w:tcMar>
          </w:tcPr>
          <w:p>
            <w:pPr>
              <w:spacing w:after="0" w:before="0"/>
            </w:pPr>
            <w:r>
              <w:rPr>
                <w:b w:val="false"/>
                <w:bCs w:val="false"/>
              </w:rPr>
              <w:t xml:space="preserve">2,500 W per machine</w:t>
            </w:r>
          </w:p>
        </w:tc>
      </w:tr>
      <w:tr>
        <w:tc>
          <w:tcPr>
            <w:tcW w:type="dxa" w:w="3600"/>
            <w:tcMar>
              <w:top w:type="dxa" w:w="60"/>
              <w:left w:type="dxa" w:w="100"/>
              <w:bottom w:type="dxa" w:w="60"/>
              <w:right w:type="dxa" w:w="100"/>
            </w:tcMar>
          </w:tcPr>
          <w:p>
            <w:pPr>
              <w:spacing w:after="0" w:before="0"/>
            </w:pPr>
            <w:r>
              <w:rPr>
                <w:b w:val="false"/>
                <w:bCs w:val="false"/>
              </w:rPr>
              <w:t xml:space="preserve">Machines supplied</w:t>
            </w:r>
          </w:p>
        </w:tc>
        <w:tc>
          <w:tcPr>
            <w:tcW w:type="dxa" w:w="5420"/>
            <w:tcMar>
              <w:top w:type="dxa" w:w="60"/>
              <w:left w:type="dxa" w:w="100"/>
              <w:bottom w:type="dxa" w:w="60"/>
              <w:right w:type="dxa" w:w="100"/>
            </w:tcMar>
          </w:tcPr>
          <w:p>
            <w:pPr>
              <w:spacing w:after="0" w:before="0"/>
            </w:pPr>
            <w:r>
              <w:rPr>
                <w:b w:val="false"/>
                <w:bCs w:val="false"/>
              </w:rPr>
              <w:t xml:space="preserve">2</w:t>
            </w:r>
          </w:p>
        </w:tc>
      </w:tr>
      <w:tr>
        <w:tc>
          <w:tcPr>
            <w:tcW w:type="dxa" w:w="3600"/>
            <w:tcMar>
              <w:top w:type="dxa" w:w="60"/>
              <w:left w:type="dxa" w:w="100"/>
              <w:bottom w:type="dxa" w:w="60"/>
              <w:right w:type="dxa" w:w="100"/>
            </w:tcMar>
          </w:tcPr>
          <w:p>
            <w:pPr>
              <w:spacing w:after="0" w:before="0"/>
            </w:pPr>
            <w:r>
              <w:rPr>
                <w:b w:val="false"/>
                <w:bCs w:val="false"/>
              </w:rPr>
              <w:t xml:space="preserve">Total for both machines</w:t>
            </w:r>
          </w:p>
        </w:tc>
        <w:tc>
          <w:tcPr>
            <w:tcW w:type="dxa" w:w="5420"/>
            <w:tcMar>
              <w:top w:type="dxa" w:w="60"/>
              <w:left w:type="dxa" w:w="100"/>
              <w:bottom w:type="dxa" w:w="60"/>
              <w:right w:type="dxa" w:w="100"/>
            </w:tcMar>
          </w:tcPr>
          <w:p>
            <w:pPr>
              <w:spacing w:after="0" w:before="0"/>
            </w:pPr>
            <w:r>
              <w:rPr>
                <w:b w:val="false"/>
                <w:bCs w:val="false"/>
              </w:rPr>
              <w:t xml:space="preserve">5,000 W</w:t>
            </w:r>
          </w:p>
        </w:tc>
      </w:tr>
    </w:tbl>
    <w:p>
      <w:pPr>
        <w:spacing w:after="0"/>
      </w:pPr>
    </w:p>
    <w:p>
      <w:pPr>
        <w:spacing w:after="140" w:line="276"/>
      </w:pPr>
      <w:r>
        <w:t xml:space="preserve">Each machine is supplied from a dedicated circuit of the facility's electrical installation, described in System Architecture Section 9.5. The facility supply of 220 V plus or minus 20 V at 50 Hz plus or minus 2 Hz, given for the equipment in System Architecture Section 9.4, is within the machine's input range.</w:t>
      </w:r>
    </w:p>
    <w:p>
      <w:pPr>
        <w:pStyle w:val="Heading1"/>
        <w:spacing w:after="140" w:before="280"/>
      </w:pPr>
      <w:r>
        <w:t xml:space="preserve">3. Air pressure requirements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600"/>
        <w:gridCol w:w="5420"/>
      </w:tblGrid>
      <w:tr>
        <w:trPr>
          <w:tblHeader/>
        </w:trPr>
        <w:tc>
          <w:tcPr>
            <w:tcW w:type="dxa" w:w="3600"/>
            <w:shd w:fill="EDEDED" w:val="clear"/>
            <w:tcMar>
              <w:top w:type="dxa" w:w="60"/>
              <w:left w:type="dxa" w:w="100"/>
              <w:bottom w:type="dxa" w:w="60"/>
              <w:right w:type="dxa" w:w="100"/>
            </w:tcMar>
          </w:tcPr>
          <w:p>
            <w:pPr>
              <w:spacing w:after="0" w:before="0"/>
            </w:pPr>
            <w:r>
              <w:rPr>
                <w:b/>
                <w:bCs/>
              </w:rPr>
              <w:t xml:space="preserve">Item</w:t>
            </w:r>
          </w:p>
        </w:tc>
        <w:tc>
          <w:tcPr>
            <w:tcW w:type="dxa" w:w="5420"/>
            <w:shd w:fill="EDEDED" w:val="clear"/>
            <w:tcMar>
              <w:top w:type="dxa" w:w="60"/>
              <w:left w:type="dxa" w:w="100"/>
              <w:bottom w:type="dxa" w:w="60"/>
              <w:right w:type="dxa" w:w="100"/>
            </w:tcMar>
          </w:tcPr>
          <w:p>
            <w:pPr>
              <w:spacing w:after="0" w:before="0"/>
            </w:pPr>
            <w:r>
              <w:rPr>
                <w:b/>
                <w:bCs/>
              </w:rPr>
              <w:t xml:space="preserve">Requirement</w:t>
            </w:r>
          </w:p>
        </w:tc>
      </w:tr>
      <w:tr>
        <w:tc>
          <w:tcPr>
            <w:tcW w:type="dxa" w:w="3600"/>
            <w:tcMar>
              <w:top w:type="dxa" w:w="60"/>
              <w:left w:type="dxa" w:w="100"/>
              <w:bottom w:type="dxa" w:w="60"/>
              <w:right w:type="dxa" w:w="100"/>
            </w:tcMar>
          </w:tcPr>
          <w:p>
            <w:pPr>
              <w:spacing w:after="0" w:before="0"/>
            </w:pPr>
            <w:r>
              <w:rPr>
                <w:b w:val="false"/>
                <w:bCs w:val="false"/>
              </w:rPr>
              <w:t xml:space="preserve">Compressed air</w:t>
            </w:r>
          </w:p>
        </w:tc>
        <w:tc>
          <w:tcPr>
            <w:tcW w:type="dxa" w:w="5420"/>
            <w:tcMar>
              <w:top w:type="dxa" w:w="60"/>
              <w:left w:type="dxa" w:w="100"/>
              <w:bottom w:type="dxa" w:w="60"/>
              <w:right w:type="dxa" w:w="100"/>
            </w:tcMar>
          </w:tcPr>
          <w:p>
            <w:pPr>
              <w:spacing w:after="0" w:before="0"/>
            </w:pPr>
            <w:r>
              <w:rPr>
                <w:b w:val="false"/>
                <w:bCs w:val="false"/>
              </w:rPr>
              <w:t xml:space="preserve">Not required</w:t>
            </w:r>
          </w:p>
        </w:tc>
      </w:tr>
      <w:tr>
        <w:tc>
          <w:tcPr>
            <w:tcW w:type="dxa" w:w="3600"/>
            <w:tcMar>
              <w:top w:type="dxa" w:w="60"/>
              <w:left w:type="dxa" w:w="100"/>
              <w:bottom w:type="dxa" w:w="60"/>
              <w:right w:type="dxa" w:w="100"/>
            </w:tcMar>
          </w:tcPr>
          <w:p>
            <w:pPr>
              <w:spacing w:after="0" w:before="0"/>
            </w:pPr>
            <w:r>
              <w:rPr>
                <w:b w:val="false"/>
                <w:bCs w:val="false"/>
              </w:rPr>
              <w:t xml:space="preserve">Air pressure</w:t>
            </w:r>
          </w:p>
        </w:tc>
        <w:tc>
          <w:tcPr>
            <w:tcW w:type="dxa" w:w="5420"/>
            <w:tcMar>
              <w:top w:type="dxa" w:w="60"/>
              <w:left w:type="dxa" w:w="100"/>
              <w:bottom w:type="dxa" w:w="60"/>
              <w:right w:type="dxa" w:w="100"/>
            </w:tcMar>
          </w:tcPr>
          <w:p>
            <w:pPr>
              <w:spacing w:after="0" w:before="0"/>
            </w:pPr>
            <w:r>
              <w:rPr>
                <w:b w:val="false"/>
                <w:bCs w:val="false"/>
              </w:rPr>
              <w:t xml:space="preserve">Not applicable</w:t>
            </w:r>
          </w:p>
        </w:tc>
      </w:tr>
      <w:tr>
        <w:tc>
          <w:tcPr>
            <w:tcW w:type="dxa" w:w="3600"/>
            <w:tcMar>
              <w:top w:type="dxa" w:w="60"/>
              <w:left w:type="dxa" w:w="100"/>
              <w:bottom w:type="dxa" w:w="60"/>
              <w:right w:type="dxa" w:w="100"/>
            </w:tcMar>
          </w:tcPr>
          <w:p>
            <w:pPr>
              <w:spacing w:after="0" w:before="0"/>
            </w:pPr>
            <w:r>
              <w:rPr>
                <w:b w:val="false"/>
                <w:bCs w:val="false"/>
              </w:rPr>
              <w:t xml:space="preserve">Flow rate</w:t>
            </w:r>
          </w:p>
        </w:tc>
        <w:tc>
          <w:tcPr>
            <w:tcW w:type="dxa" w:w="5420"/>
            <w:tcMar>
              <w:top w:type="dxa" w:w="60"/>
              <w:left w:type="dxa" w:w="100"/>
              <w:bottom w:type="dxa" w:w="60"/>
              <w:right w:type="dxa" w:w="100"/>
            </w:tcMar>
          </w:tcPr>
          <w:p>
            <w:pPr>
              <w:spacing w:after="0" w:before="0"/>
            </w:pPr>
            <w:r>
              <w:rPr>
                <w:b w:val="false"/>
                <w:bCs w:val="false"/>
              </w:rPr>
              <w:t xml:space="preserve">Not applicable</w:t>
            </w:r>
          </w:p>
        </w:tc>
      </w:tr>
      <w:tr>
        <w:tc>
          <w:tcPr>
            <w:tcW w:type="dxa" w:w="3600"/>
            <w:tcMar>
              <w:top w:type="dxa" w:w="60"/>
              <w:left w:type="dxa" w:w="100"/>
              <w:bottom w:type="dxa" w:w="60"/>
              <w:right w:type="dxa" w:w="100"/>
            </w:tcMar>
          </w:tcPr>
          <w:p>
            <w:pPr>
              <w:spacing w:after="0" w:before="0"/>
            </w:pPr>
            <w:r>
              <w:rPr>
                <w:b w:val="false"/>
                <w:bCs w:val="false"/>
              </w:rPr>
              <w:t xml:space="preserve">Compressor specification</w:t>
            </w:r>
          </w:p>
        </w:tc>
        <w:tc>
          <w:tcPr>
            <w:tcW w:type="dxa" w:w="5420"/>
            <w:tcMar>
              <w:top w:type="dxa" w:w="60"/>
              <w:left w:type="dxa" w:w="100"/>
              <w:bottom w:type="dxa" w:w="60"/>
              <w:right w:type="dxa" w:w="100"/>
            </w:tcMar>
          </w:tcPr>
          <w:p>
            <w:pPr>
              <w:spacing w:after="0" w:before="0"/>
            </w:pPr>
            <w:r>
              <w:rPr>
                <w:b w:val="false"/>
                <w:bCs w:val="false"/>
              </w:rPr>
              <w:t xml:space="preserve">Not applicable</w:t>
            </w:r>
          </w:p>
        </w:tc>
      </w:tr>
    </w:tbl>
    <w:p>
      <w:pPr>
        <w:spacing w:after="0"/>
      </w:pPr>
    </w:p>
    <w:p>
      <w:pPr>
        <w:spacing w:after="140" w:line="276"/>
      </w:pPr>
      <w:r>
        <w:t xml:space="preserve">The personalization systems are offered for laser personalization without drop-on-demand inkjet printing. In that configuration they use no compressed air, as the manufacturer confirms, so no air pressure, flow rate or compressor applies, and no air compressor is supplied or installed.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jc w:val="right"/>
    </w:pPr>
    <w:r>
      <w:rPr>
        <w:color w:val="595959"/>
        <w:sz w:val="16"/>
        <w:szCs w:val="16"/>
      </w:rPr>
      <w:t xml:space="preserve">Power and Air Pressure Requirements   |   RFP No. MW-PPPC-546386-GO-RFB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and Air Pressure Requirements</dc:title>
  <dc:creator>Inkript</dc:creator>
  <cp:lastModifiedBy>Un-named</cp:lastModifiedBy>
  <cp:revision>1</cp:revision>
  <dcterms:created xsi:type="dcterms:W3CDTF">2026-10-09T09:01:37.757Z</dcterms:created>
  <dcterms:modified xsi:type="dcterms:W3CDTF">2026-10-09T09:01:37.757Z</dcterms:modified>
</cp:coreProperties>
</file>

<file path=docProps/custom.xml><?xml version="1.0" encoding="utf-8"?>
<Properties xmlns="http://schemas.openxmlformats.org/officeDocument/2006/custom-properties" xmlns:vt="http://schemas.openxmlformats.org/officeDocument/2006/docPropsVTypes"/>
</file>