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5</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10</w:t>
            </w:r>
          </w:hyperlink>
        </w:p>
        <w:p>
          <w:pPr>
            <w:pStyle w:val="TOC2"/>
            <w:tabs>
              <w:tab w:val="clear" w:pos="8786"/>
              <w:tab w:val="right" w:pos="9025" w:leader="dot"/>
            </w:tabs>
          </w:pPr>
          <w:hyperlink w:history="1" w:anchor="sec_1_5">
            <w:r>
              <w:rPr>
                <w:rStyle w:val="IndexLink"/>
              </w:rPr>
              <w:t xml:space="default">1.5 Performance requirements</w:t>
              <w:tab/>
              <w:t xml:space="default">12</w:t>
            </w:r>
          </w:hyperlink>
        </w:p>
        <w:p>
          <w:pPr>
            <w:pStyle w:val="TOC2"/>
            <w:tabs>
              <w:tab w:val="clear" w:pos="8786"/>
              <w:tab w:val="right" w:pos="9025" w:leader="dot"/>
            </w:tabs>
          </w:pPr>
          <w:hyperlink w:history="1" w:anchor="sec_1_6">
            <w:r>
              <w:rPr>
                <w:rStyle w:val="IndexLink"/>
              </w:rPr>
              <w:t xml:space="default">1.6 Cyber security</w:t>
              <w:tab/>
              <w:t xml:space="default">16</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19</w:t>
            </w:r>
          </w:hyperlink>
        </w:p>
        <w:p>
          <w:pPr>
            <w:pStyle w:val="TOC2"/>
            <w:tabs>
              <w:tab w:val="clear" w:pos="8786"/>
              <w:tab w:val="right" w:pos="9025" w:leader="dot"/>
            </w:tabs>
          </w:pPr>
          <w:hyperlink w:history="1" w:anchor="sec_2_1">
            <w:r>
              <w:rPr>
                <w:rStyle w:val="IndexLink"/>
              </w:rPr>
              <w:t xml:space="default">2.1 System integration</w:t>
              <w:tab/>
              <w:t xml:space="default">19</w:t>
            </w:r>
          </w:hyperlink>
        </w:p>
        <w:p>
          <w:pPr>
            <w:pStyle w:val="TOC2"/>
            <w:tabs>
              <w:tab w:val="clear" w:pos="8786"/>
              <w:tab w:val="right" w:pos="9025" w:leader="dot"/>
            </w:tabs>
          </w:pPr>
          <w:hyperlink w:history="1" w:anchor="sec_2_2">
            <w:r>
              <w:rPr>
                <w:rStyle w:val="IndexLink"/>
              </w:rPr>
              <w:t xml:space="default">2.2 Training and training materials</w:t>
              <w:tab/>
              <w:t xml:space="default">23</w:t>
            </w:r>
          </w:hyperlink>
        </w:p>
        <w:p>
          <w:pPr>
            <w:pStyle w:val="TOC2"/>
            <w:tabs>
              <w:tab w:val="clear" w:pos="8786"/>
              <w:tab w:val="right" w:pos="9025" w:leader="dot"/>
            </w:tabs>
          </w:pPr>
          <w:hyperlink w:history="1" w:anchor="sec_2_3">
            <w:r>
              <w:rPr>
                <w:rStyle w:val="IndexLink"/>
              </w:rPr>
              <w:t xml:space="default">2.3 Documentation requirements</w:t>
              <w:tab/>
              <w:t xml:space="default">26</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29</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34</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35</w:t>
            </w:r>
          </w:hyperlink>
        </w:p>
        <w:p>
          <w:pPr>
            <w:pStyle w:val="TOC2"/>
            <w:tabs>
              <w:tab w:val="clear" w:pos="8786"/>
              <w:tab w:val="right" w:pos="9025" w:leader="dot"/>
            </w:tabs>
          </w:pPr>
          <w:hyperlink w:history="1" w:anchor="sec_3_2">
            <w:r>
              <w:rPr>
                <w:rStyle w:val="IndexLink"/>
              </w:rPr>
              <w:t xml:space="default">3.2 Personalization laser features</w:t>
              <w:tab/>
              <w:t xml:space="default">37</w:t>
            </w:r>
          </w:hyperlink>
        </w:p>
        <w:p>
          <w:pPr>
            <w:pStyle w:val="TOC2"/>
            <w:tabs>
              <w:tab w:val="clear" w:pos="8786"/>
              <w:tab w:val="right" w:pos="9025" w:leader="dot"/>
            </w:tabs>
          </w:pPr>
          <w:hyperlink w:history="1" w:anchor="sec_3_3">
            <w:r>
              <w:rPr>
                <w:rStyle w:val="IndexLink"/>
              </w:rPr>
              <w:t xml:space="default">3.3 Automated mailing and dispatch systems</w:t>
              <w:tab/>
              <w:t xml:space="default">39</w:t>
            </w:r>
          </w:hyperlink>
        </w:p>
        <w:p>
          <w:pPr>
            <w:pStyle w:val="TOC2"/>
            <w:tabs>
              <w:tab w:val="clear" w:pos="8786"/>
              <w:tab w:val="right" w:pos="9025" w:leader="dot"/>
            </w:tabs>
          </w:pPr>
          <w:hyperlink w:history="1" w:anchor="sec_3_4">
            <w:r>
              <w:rPr>
                <w:rStyle w:val="IndexLink"/>
              </w:rPr>
              <w:t xml:space="default">3.4 Polycarbonate cards</w:t>
              <w:tab/>
              <w:t xml:space="default">41</w:t>
            </w:r>
          </w:hyperlink>
        </w:p>
        <w:p>
          <w:pPr>
            <w:pStyle w:val="TOC2"/>
            <w:tabs>
              <w:tab w:val="clear" w:pos="8786"/>
              <w:tab w:val="right" w:pos="9025" w:leader="dot"/>
            </w:tabs>
          </w:pPr>
          <w:hyperlink w:history="1" w:anchor="sec_3_5">
            <w:r>
              <w:rPr>
                <w:rStyle w:val="IndexLink"/>
              </w:rPr>
              <w:t xml:space="default">3.5 Renovation of premises</w:t>
              <w:tab/>
              <w:t xml:space="default">42</w:t>
            </w:r>
          </w:hyperlink>
        </w:p>
        <w:p>
          <w:pPr>
            <w:pStyle w:val="TOC1"/>
            <w:tabs>
              <w:tab w:val="clear" w:pos="9026"/>
              <w:tab w:val="right" w:pos="9025" w:leader="dot"/>
            </w:tabs>
          </w:pPr>
          <w:hyperlink w:history="1" w:anchor="sec_4">
            <w:r>
              <w:rPr>
                <w:rStyle w:val="IndexLink"/>
              </w:rPr>
              <w:t xml:space="default">4. Testing and Quality Assurance Requirements</w:t>
              <w:tab/>
              <w:t xml:space="default">48</w:t>
            </w:r>
          </w:hyperlink>
        </w:p>
        <w:p>
          <w:pPr>
            <w:pStyle w:val="TOC2"/>
            <w:tabs>
              <w:tab w:val="clear" w:pos="8786"/>
              <w:tab w:val="right" w:pos="9025" w:leader="dot"/>
            </w:tabs>
          </w:pPr>
          <w:hyperlink w:history="1" w:anchor="sec_4_1">
            <w:r>
              <w:rPr>
                <w:rStyle w:val="IndexLink"/>
              </w:rPr>
              <w:t xml:space="default">4.1 Inspections</w:t>
              <w:tab/>
              <w:t xml:space="default">48</w:t>
            </w:r>
          </w:hyperlink>
        </w:p>
        <w:p>
          <w:pPr>
            <w:pStyle w:val="TOC2"/>
            <w:tabs>
              <w:tab w:val="clear" w:pos="8786"/>
              <w:tab w:val="right" w:pos="9025" w:leader="dot"/>
            </w:tabs>
          </w:pPr>
          <w:hyperlink w:history="1" w:anchor="sec_4_2">
            <w:r>
              <w:rPr>
                <w:rStyle w:val="IndexLink"/>
              </w:rPr>
              <w:t xml:space="default">4.2 Pre-commissioning tests</w:t>
              <w:tab/>
              <w:t xml:space="default">48</w:t>
            </w:r>
          </w:hyperlink>
        </w:p>
        <w:p>
          <w:pPr>
            <w:pStyle w:val="TOC2"/>
            <w:tabs>
              <w:tab w:val="clear" w:pos="8786"/>
              <w:tab w:val="right" w:pos="9025" w:leader="dot"/>
            </w:tabs>
          </w:pPr>
          <w:hyperlink w:history="1" w:anchor="sec_4_3">
            <w:r>
              <w:rPr>
                <w:rStyle w:val="IndexLink"/>
              </w:rPr>
              <w:t xml:space="default">4.3 Operational acceptance tests</w:t>
              <w:tab/>
              <w:t xml:space="default">52</w:t>
            </w:r>
          </w:hyperlink>
        </w:p>
        <w:p>
          <w:pPr>
            <w:pStyle w:val="TOC1"/>
            <w:tabs>
              <w:tab w:val="clear" w:pos="9026"/>
              <w:tab w:val="right" w:pos="9025" w:leader="dot"/>
            </w:tabs>
          </w:pPr>
          <w:hyperlink w:history="1" w:anchor="sec_5">
            <w:r>
              <w:rPr>
                <w:rStyle w:val="IndexLink"/>
              </w:rPr>
              <w:t xml:space="default">5. Service Specifications, Recurrent Cost Items</w:t>
              <w:tab/>
              <w:t xml:space="default">57</w:t>
            </w:r>
          </w:hyperlink>
        </w:p>
        <w:p>
          <w:pPr>
            <w:pStyle w:val="TOC2"/>
            <w:tabs>
              <w:tab w:val="clear" w:pos="8786"/>
              <w:tab w:val="right" w:pos="9025" w:leader="dot"/>
            </w:tabs>
          </w:pPr>
          <w:hyperlink w:history="1" w:anchor="sec_5_1">
            <w:r>
              <w:rPr>
                <w:rStyle w:val="IndexLink"/>
              </w:rPr>
              <w:t xml:space="default">5.1 Warranty defect repair</w:t>
              <w:tab/>
              <w:t xml:space="default">57</w:t>
            </w:r>
          </w:hyperlink>
        </w:p>
        <w:p>
          <w:pPr>
            <w:pStyle w:val="TOC2"/>
            <w:tabs>
              <w:tab w:val="clear" w:pos="8786"/>
              <w:tab w:val="right" w:pos="9025" w:leader="dot"/>
            </w:tabs>
          </w:pPr>
          <w:hyperlink w:history="1" w:anchor="sec_5_2">
            <w:r>
              <w:rPr>
                <w:rStyle w:val="IndexLink"/>
              </w:rPr>
              <w:t xml:space="default">5.2 Technical support</w:t>
              <w:tab/>
              <w:t xml:space="default">57</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58</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 [CONFIRM: The proposal documents give only a general compliance statement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Inkript to confirm whether MACRA type approval is needed for the imported network and production equipment, that the bulk SMS provider is licensed, and that EMC certificate copies are attached for every machine (Document Register item 1.6). The MS1000 datasheet lists no certifications.]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 [CONFIRM: The proposal documents state compliance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but do not map the System to the Policy itself. Inkript to check this response against the Policy copy issued with the Responses to Queries 04.]</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Inkript's own Environmental and Social Management Plan accompanies the proposal. Rejected and defective cards, which carry personal data, are destroyed by cross-cut shredding under dual custody, with a destruction certificate for every batch. [CONFIRM: Inkript's Environmental and Social Management Plan and related plans (Document Register items 5.4 to 5.8 and items 5.20 to 5.22) must be in the proposal. The four proposal documents contain only a compliance statement and no environmental or social measures.]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CIRA-registered subcontractor, as Addendum 2 requires, delivers the renovation under Inkript's single-point accountability. As clarified in the Responses to Queries 003 and Queries 04, new power, HVAC, fire, physical security and secure areas are designed without reliance on existing infrastructure, to the ICT Site Preparation Guide issued in week 4, with works in weeks 7 to 18. [GAP: The four proposal documents place the renovation under separate facility works (</w:t>
            </w:r>
            <w:r>
              <w:rPr>
                <w:b w:val="false"/>
                <w:bCs w:val="false"/>
                <w:i w:val="false"/>
                <w:iCs w:val="false"/>
              </w:rPr>
              <w:t xml:space="preserve">Preliminary Project Plan Section </w:t>
            </w:r>
            <w:fldSimple w:instr="HYPERLINK &quot;Preliminary-Project-Plan-Information-System-Sub-Plans.docx&quot; \l &quot;sec_1_1&quot;">
              <w:r>
                <w:rPr>
                  <w:rStyle w:val="Hyperlink"/>
                  <w:b w:val="false"/>
                  <w:bCs w:val="false"/>
                  <w:i w:val="false"/>
                  <w:iCs w:val="false"/>
                </w:rPr>
                <w:t xml:space="preserve">1.1</w:t>
              </w:r>
            </w:fldSimple>
            <w:r>
              <w:rPr>
                <w:b w:val="false"/>
                <w:bCs w:val="false"/>
                <w:i w:val="false"/>
                <w:iCs w:val="false"/>
              </w:rPr>
              <w:t xml:space="preserve">) and contain no gap assessment, bill of quantities, renovation method or plan for supervising the ancillary-equipment partner. </w:t>
            </w:r>
            <w:r>
              <w:rPr>
                <w:b w:val="false"/>
                <w:bCs w:val="false"/>
                <w:i w:val="false"/>
                <w:iCs w:val="false"/>
              </w:rPr>
              <w:t xml:space="preserve">Preliminary Project Plan Section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makes the facility works accountable for server room and floor readiness, with Inkript only consulted. A facility works method statement and supervision arrangement are needed.]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 [CONFIRM: Depends on the card manufacturer's laboratory test reports, OEM letter and construction and feature confirmations (Document Register item 2.1, item 2.13, item 2.15 and item 2.16).]</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 [CONFIRM: The S8000 datasheet gives up to 2,000 cph per machine. Inkript to confirm, as </w:t>
            </w:r>
            <w:r>
              <w:rPr>
                <w:b w:val="false"/>
                <w:bCs w:val="false"/>
                <w:i w:val="false"/>
                <w:iCs w:val="false"/>
              </w:rPr>
              <w:t xml:space="preserve">Preliminary Project Plan Section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risk R3 requires, that each machine sustains at least 1,000 accepted cards per hour with full content, since the Responses to Queries 003 measure throughput on accepted finished cards. The laser datasheet lists neither tactile marking nor a 600 dpi resolution.]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 [CONFIRM: The MS1000 datasheet rates each machine at up to 1,000 cph standalone, exactly the required minimum with no margin, lists the card data reading station as optional, and runs Maticard Pro on Windows 8 and Windows 10. Inkript to confirm rate, QR reading and supported operating system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supplies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 [CONFIRM: Depends on the OEM software list with license texts and the machine software scope statement (Document Register item 1.7 and item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delivers the facility turnkey as a single point of accountability: the equipment, two million cards, application software, ICT infrastructure at the primary and secondary sites, NRIS integration and the facility works subcontract,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 [CONFIRM: The Responses to Queries 04 require secure web-based system management for both personalization and mailing, while station status, faults and calibration run in the manufacturer's local operator interface (</w:t>
            </w:r>
            <w:r>
              <w:rPr>
                <w:b w:val="false"/>
                <w:bCs w:val="false"/>
                <w:i w:val="false"/>
                <w:iCs w:val="false"/>
              </w:rPr>
              <w:t xml:space="preserve">System Architecture Section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Inkript to confirm the OEM software or the web consoles cover this.]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 [CONFIRM: These functions belong to the manufacturer's software. The S8000 datasheet lists grayscale, CLI/MLI and micro text but not tactile laser printing or calibration management; Inkript to confirm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Inkript engages the operator and connects its tracking service through a configured interface. [CONFIRM: The Clarifications to Queries 005 make the Supplier solely responsible for engaging and contracting with postal operators, while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to engaging the operator and connecting its tracking service but leave physical delivery with NRB. Inkript to confirm the contracting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 [CONFIRM: The Responses to Queries 003 say NRB will provide its existing Active Directory for integration, while the Clarifications to Queries 005 require a net-new, self-contained solution using no existing NRB resources. </w:t>
            </w:r>
            <w:r>
              <w:rPr>
                <w:b w:val="false"/>
                <w:bCs w:val="false"/>
                <w:i w:val="false"/>
                <w:iCs w:val="false"/>
              </w:rPr>
              <w:t xml:space="preserve">System Architecture Section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runs the System's own directory. Inkript to confirm whether integration with NRB's Active Directory should also be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 [CONFIRM: Predictive maintenance depends on the equipment exposing the needed telemetry (</w:t>
            </w:r>
            <w:r>
              <w:rPr>
                <w:b w:val="false"/>
                <w:bCs w:val="false"/>
                <w:i w:val="false"/>
                <w:iCs w:val="false"/>
              </w:rPr>
              <w:t xml:space="preserve">System Architecture Section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Inkript to confirm with both equipment manufacturers.]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 [CONFIRM: The S8000 datasheet states up to 2,000 cph. Inkript to confirm each machine sustains at least 1,000 accepted duplex cards per hour with full content (</w:t>
            </w:r>
            <w:r>
              <w:rPr>
                <w:b w:val="false"/>
                <w:bCs w:val="false"/>
                <w:i w:val="false"/>
                <w:iCs w:val="false"/>
              </w:rPr>
              <w:t xml:space="preserve">Preliminary Project Plan Section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risk R3), and to obtain OEM evidence of independent station operation (Document Register item 1.13).]</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 [CONFIRM: The S8000 datasheet shows no cooling or air compressor detail and lists vision inspection as an option, which must be ordered. The dedicated power and air pressure document with the compressor specification (Document Register item 1.4) is needed from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 [CONFIRM: The MS1000 datasheet rates up to 1,000 cph per machine with no margin, lists the reading station as optional, and does not show sealing, buffer modules or dispatch sorting. Inkript to confirm the configuration and rate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MS1000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Inkript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UPS, generator with automatic transfer, power distribution with rack PDUs and grounding; air conditioning with humidity control, precision cooling, air filtration and environmental monitoring linked to alerting; and biometric access control, CCTV, intrusion detection and clean agent fire suppression. As clarified in the Responses to Queries 003, none relies on existing site infrastructure.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states the provisions, but the proposal documents hold no facility design, ratings or product specifications for the UPS, generator, ATS, HVAC, CCTV, access control or fire suppression. These come from the facility works and should be added or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 [CONFIRM: Secure boot is stated for the hosts, virtual machines, backup storage and workstations, and signed firmware for the network, storage and security devices, but not for the equipment manufacturer's industrial control PCs on the personalization and mailing lines. The clause says all servers and devices, so Inkript to confirm secure boot on those PCs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 [CONFIRM: The clause aims at uninterrupted card production, but the secondary environment carries only the data and application services: it has no personalization or mailing equipment, so a loss of the primary site stops card production until that site is restored. Inkript to confirm this position, which also applies to clause 1.5.2.6. Clarifications to Queries 005 leaves the RTO and RPO for the Supplier to define and agree with the Purchaser, and the figures are still to be agreed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 [CONFIRM: Responses to Queries 003 states that throughput is measured on accepted finished cards, while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measures cards per hour without stating that basis. At the contractual rate, two lines over fourteen hours give exactly 28,000 cards, so any reject brings accepted output below the daily figure unless the lines run above 1,000 cards per hour. Inkript to align the measurement basis and confirm with the manufacturer the sustained accepted-card rate with the full duplex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 [CONFIRM: The datasheet figure of 2,000 cards per hour is a maximum ('up to'), not a measured sustained rate. Inkript to obtain the manufacturer's throughput test record for duplex personalization with the full card content before relying on the margin.]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 [CONFIRM: The attached mailing system datasheet rates the machine at 'up to 1000 cph', exactly the contractual minimum per machine, which leaves no margin for rejects, stoppages or multi-card mailers, while operational acceptance test 4 requires 95 percent of nominal capacity at peak. The datasheet also describes the model as ideal for small to medium volumes. Inkript to confirm the sustained rate with the manufacturer or consider a higher-rated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 [CONFIRM: The 5 minute synchronization depends on the bandwidth and latency of the Government Wide Area Network link, which the Purchaser provisions against the Supplier's stated requirements (Responses to Queries 04). Inkript to state the required link figures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 [CONFIRM: Addendum No. 2 still lists magnetic encoding ('magnetic/laser engraving'). The card specified in clause 3.4 carries no magnetic stripe, and the proposal treats encoding as laser engraving only. Inkript to confirm that magnetic encoding is not required.]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 [CONFIRM: On loss of the primary storage array or site, the secondary environment carries the data and application services only, and card production resumes when the primary platform is restored. Inkript to confirm this position is acceptable against 'failover and disaster recovery mode', or record it as a limitation.]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 [CONFIRM: Responses to Queries 003 says NRB will provide its existing Active Directory for integration, while Clarifications to Queries 005 requires a net-new, self-contained solution using no existing NRB resources. The proposal supplies its own directory. Inkript to confirm whether any trust or synchronization with NRB's Active Directory is expected.]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 Clarifications to Queries 005, Inkript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 [CONFIRM: The independent penetration testing firm is not yet named. Inkript to select it and confirm that the annual tests are priced for the full period in which they are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and, as Responses to Queries 003 requires, each team member holds the certifications for the role, including CISSP, CISM and CEH for the Cybersecurity and PKI Specialist, CCNA and CCNP for the Network Engineer, and CREST or equivalent accreditation for the independent penetration tester. [CONFIRM: The certifications are stated for the roles. Inkript to confirm that the named candidates' CVs and certificate copies carry them before submission.]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the mandatory certification, maintained throughout the Contract, with the certificate copy attached. The card manufacturer's ISO 9001 certificate is attached. [GAP: No document states whether Inkript holds ISO 9001 or ISO/IEC 20000-1 (</w:t>
            </w:r>
            <w:r>
              <w:rPr>
                <w:b w:val="false"/>
                <w:bCs w:val="false"/>
                <w:i w:val="false"/>
                <w:iCs w:val="false"/>
              </w:rPr>
              <w:t xml:space="preserve">Cybersecurity Risk Management Plan Section </w:t>
            </w:r>
            <w:fldSimple w:instr="HYPERLINK &quot;Cybersecurity-Risk-Management-Plan.docx&quot; \l &quot;sec_11_2&quot;">
              <w:r>
                <w:rPr>
                  <w:rStyle w:val="Hyperlink"/>
                  <w:b w:val="false"/>
                  <w:bCs w:val="false"/>
                  <w:i w:val="false"/>
                  <w:iCs w:val="false"/>
                </w:rPr>
                <w:t xml:space="preserve">11.2</w:t>
              </w:r>
            </w:fldSimple>
            <w:r>
              <w:rPr>
                <w:b w:val="false"/>
                <w:bCs w:val="false"/>
                <w:i w:val="false"/>
                <w:iCs w:val="false"/>
              </w:rPr>
              <w:t xml:space="preserve"> is marked [Inkript to confirm]). Clarifications to Queries 005, answering a question that cited this clause, says all minimum specifications are strict, non-negotiable baselines, so the 'preferred' certifications may be evaluated as required. Responses to Queries 003 lets team members or partners hold certifications for their roles, so the card manufacturer's ISO 9001 certificate (register item 2.3) helps, but no ISO/IEC 20000-1 holder is identified. Attach Inkript's or a partner's certificates if held.]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Attachment: Inkript ISO/IEC 27001 certificate; Attachment: Card manufacturer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Responses to Queries 04 and Clarifications to Queries 005. Signature formats align with eIDAS digital signature standards. [CONFIRM: The HSM model is not named in any document, and its FIPS 140 validation certificate, which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says is attached, is not in the tender document register. Inkript to select the model and attach the certificate.]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Inkript accepts single-point responsibility for the integration.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designs each interface in an Interface Control Document and develops, tests and deploys its production side over REST APIs, SOAP web services, secure file transfer, message queues and middleware, or database integration. As clarified in the Responses to Queries 003 and Clarifications to Queries 005, NRB developers build the NRIS side and the Purchaser provides its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Clarifications to Queries 005, the main route is the NRIS API the Purchaser provides.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Clarifications to Queries 005, the secondary environment is provisioned at the existing NRB disaster recovery site in Blantyre.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 [CONFIRM: The Laser personalization system datasheet lists vision inspection (OCR, OCV and 2D code validation of every card) as an optional module. Inkript to confirm it is in the configuration ordered, since </w:t>
            </w: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commits to in-line verification of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Clarifications to Queries 005, Inkript engages the postal operator and connects the System to its tracking service. [CONFIRM: Clarifications to Queries 005 makes the Supplier solely responsible for engaging and contracting with postal operators.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only to engaging the operator and connecting its tracking service, and keep physical delivery with NRB. Inkript to confirm the contracting position and align both sections.]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20"/>
        <w:gridCol w:w="4900"/>
        <w:gridCol w:w="2000"/>
      </w:tblGrid>
      <w:tr>
        <w:trPr>
          <w:tblHeader/>
        </w:trPr>
        <w:tc>
          <w:tcPr>
            <w:tcW w:type="dxa" w:w="212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20"/>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Inkript recommends 24 user trainees against a minimum of 16 to staff two shifts, with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20"/>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20"/>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20"/>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20"/>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20"/>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Inkript recommends 15 technical trainees against a minimum of nine, so that no technical role rests on one trained person, with stated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20"/>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20"/>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20"/>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20"/>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20"/>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20"/>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20"/>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 [GAP: </w:t>
            </w: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names an executive briefing, workshops and facilitated sessions, but not strategy sessions or presentations. Add both to its Mode and duration paragraph.]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20"/>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20"/>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00"/>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00"/>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00"/>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 [GAP: The facility inspection checklist is not listed in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Add it to the Operational and maintenance checklists row, or confirm it is delivered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00"/>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00"/>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00"/>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 [GAP: Physical layout drawings, facility floor plans and the power and cooling design are not named as deliverables in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including its facility works paragraph. Add them there. The Purchaser's ground floor plan, provided by the Buildings Department as stated in the Responses to Queries 003, is the base.]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00"/>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courier or postal interface. [GAP: Third-party integration procedures are not named in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Add them to the Integration documentation row, covering the courier or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00"/>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00"/>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00"/>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Electrical drawings, UPS configuration, generator integration, HVAC, fire suppression, access control, CCTV, structured cabling, raised floor and environmental monitoring documentation are delivered under the facility works of the turnkey contract. Environmental, power and UPS sensors installed under those works feed the System's monitoring and alerting. [GAP: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places facility documentation under the facility works and omits environmental monitoring setup. No proposal document commits to the ten items. The facility works documentation list, prepared with the rehabilitation subcontractor, must name all ten.]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000"/>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certificate, the card manufacturer's ISO certificates and the hardware security modules' FIPS 140 certificates are attached. [GAP: Regulatory approvals are not listed in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Add them to the Compliance and certification documentation row.]</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Attachment: ISO/IEC 27001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 [GAP: No cited document names the Project Team Leader or states the qualifications. The CV, the Candidate Summary form and the Project Organization and Management Sub-Plan must evidence them. A Master's degree and PMP, PRINCE2 Practitioner or PMI-ACP certification add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 [GAP: No proposal document names this role, and the rehabilitation subcontractor's CVs are not yet in hand. Confirm the nominee with the subcontractor and evidence through the CV and certificates. The facility works plan should state the assessment, rehabilitation and implementation plan duties, including compatibility with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approves medium and high-risk changes as technical lead. The nominee holds a Bachelor's degree in a listed field, at least five years in solution architecture, systems integration, interoperability and technical assurance, and TOGAF and solutions architecture certification. [CONFIRM: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states only that the role meets the clause 2.4 qualifications. No document states the degree, years or certifications. Confirm against the nominee's CV, including OEM solution certifications where possible.]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 [CONFIRM: The OEM certificate for the named engineer must be obtained from the equipment manufacturer.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 security feature implementation, and the clause still names chip encoding although the Response to Clarifications 001 confirms chipless cards. Confirm the CV shows both.]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 [CONFIRM: Confirm the CV shows mailing systems integrated with personalization and national ID systems, and high-volume print, mailing and dispatch experience,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 [CONFIRM: Attach the CV and the CISSP, CISM and CEH certificates as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states, and confirm experience with access control systems, which the clause lists.]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 [CONFIRM: Confirm the CV covers encryption systems, covert and forensic security, and tactile and laser-Braille elements,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 [CONFIRM: Confirm the CV includes government system integration certification or experience, which the clause lists and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omits.]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 [CONFIRM: Confirm the CV shows network redundancy experience, which the clause lists. Fortinet or Palo Alto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 [GAP: The role is named only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for post-acceptance assistance. No cited document states its qualifications or its assignment during supply and installation. Evidence through the CV and the facility works staffing,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including the training needs that changes to the system create. [CONFIRM: Confirm the trainer and change management certificates, Prosci where held, are attached with the Key Personnel forms.]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 [GAP: No cited document names the HSE Officer. Evidence through the CV and the Occupational Health and Safety Plan,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 [CONFIRM: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names the role and states only that it meets the clause 2.4 qualifications. Confirm the degree, years, ISTQB and test experience against the CV. ISO 9001 Lead Auditor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 [CONFIRM: Confirm the CV shows hardware and software integration experience, and design and support of the personalization, mailing and NRIS-integrated ICT environment,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450"/>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 [CONFIRM: The MS1000 mailing system datasheet states no electrical input range, and no datasheet confirms British Standard plugs. Obtain manufacturer confirmation for the mailing systems and the ICT equipment.]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 [CONFIRM: No datasheet states a dust tolerance, and the MS1000 mailing system datasheet gives no operating environment. Obtain manufacturer confirmation.]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 [CONFIRM: No datasheet states a noise level. Obtain the manufacturers' declared noise levels for the personalization and mailing systems.]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450"/>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 [CONFIRM: The laser datasheet lists FCC without the class, and the mailing datasheet lists no certification. Section IV of the RFP requires certificate copies in the proposal: obtain FCC Class B or EN 55022 certificates for the laser, mailing and ICT equipment. The RFP's 'END' is read as EN.]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 [CONFIRM: </w:t>
            </w:r>
            <w:r>
              <w:rPr>
                <w:b w:val="false"/>
                <w:bCs w:val="false"/>
                <w:i w:val="false"/>
                <w:iCs w:val="false"/>
              </w:rPr>
              <w:t xml:space="preserve">System Architecture Section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does not yet state that throughput is measured on accepted finished cards, as the Responses to Queries 003 require. Confirm with the manufacturer the rated duplex output with the full personalization content, allowing for the 1 percent reject rate.]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 [CONFIRM: The laser datasheet lists CLI/MLI and micro text as optional features and does not mention tactile laser printing. Confirm these options are in the configuration ordered and obtain manufacturer evidence for tactile marking, since this criterion is scored on documentary evidence. The meaning of 'both alphanumeric values' and the QR specification are still to come from the Purchaser.]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 [CONFIRM: Vision inspection is listed as an optional module on the S8000 laser datasheet. Confirm it is included on both machines in the configuration ordered.]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 [CONFIRM: The S8000 laser datasheet lists a single emergency stop button. Confirm with the manufacturer that emergency stop buttons are positioned around the assembled modular line, reachable from each operator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 [CONFIRM: The laser datasheet states no marking resolution. Obtain the manufacturer's figure, ideally a measured sample, since this criterion is scored on the quality of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 [CONFIRM: The laser datasheet confirms micro text but gives no resolution or line size. Obtain the manufacturer's figure or a measured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 [CONFIRM: Scored on documentary evidence (Document Register item 1.13). The laser datasheet does not show that each LX module marks a whole card alone. Obtain manufacturer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 [CONFIRM: Confirm with the manufacturer the hourly rate of one machine with a station out of service, since the clause requires that the production flow is not degraded.]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 [GAP: The datasheet on file gives no weight and only per-module dimensions, not the assembled line. The System Architecture subsection 'Technical data and installation requirements' is listed in its contents but not yet drafted. Obtain weight and overall dimensions for the configuration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 [GAP: Wavelength, operational lifespan and maintenance intervals are not in any document on file. Obtain the Laser Engraving Unit Details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 [GAP: Air pressure, flow rate and compressor figures are not on file, and the datasheet does not say whether 2,500 W is per module or per machine. Obtain the dedicated document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 [CONFIRM: The card data reading station is an optional module on the MS1000 datasheet, which does not state 1D, 2D and QR capability. Confirm it is configured on both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 [CONFIRM: Buffer modules do not appear on the MS1000 datasheet. Confirm with the manufacturer that they are available and included in the configuration.]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Inkript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 [CONFIRM: The MS1000 datasheet rates each line at up to 1,000 cards per hour, exactly the per-machine minimum, leaving no margin for rejects or stoppages. Confirm the sustained rate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Inkript engages the operator that delivers the cards and connects the System to its tracking service. [GAP: The Clarifications to Queries 005 make the Supplier 'solely responsible for engaging and contracting with necessary Postal Operators'.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only to engaging for data exchange, and place physical delivery with NRB's own fleet. Decide whether Inkript contracts the postal operator for last-mile delivery, then align both sections and this row.]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 [CONFIRM: Depends on the card manufacturer's construction confirmation and laboratory test reports, which must be obtained.]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 [CONFIRM: The card manufacturer must confirm every front feature, including the crystal pattern security background, which </w:t>
            </w: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does not list separately from the photonic crystal elements. The Responses to Queries 04 make OVMI and thermochromic ink mandatory, with no alternatives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 [CONFIRM: </w:t>
            </w:r>
            <w:r>
              <w:rPr>
                <w:b w:val="false"/>
                <w:bCs w:val="false"/>
                <w:i w:val="false"/>
                <w:iCs w:val="false"/>
              </w:rPr>
              <w:t xml:space="preserve">System Architecture Section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omits photonic crystal on the back and relies on the Responses to Queries 04. The clause itself lists it, so consider adding it if the card manufacturer offers dual-sided photonic crystal.]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 [CONFIRM: Depends on the same manufacturer evidence as clause 3.1.3 and clause 3.2.2.1.1: the laser datasheet states no marking resolution and does not mention tactile laser printing.]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 [CONFIRM: Images and physical samples must be obtained from the card manufacturer. The final Malawi design is agreed after award under the Clarifications to Queries 005, so the bid images show a representative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 [CONFIRM: Reports must be obtained from the card manufacturer and checked to cover all fourteen tests within three years. The Responses to Queries 04 accept redacted reports and require a laboratory holding government mandates for national ID.]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renovates the designated ground floor area into a secure, production-ready facility for both personalization lines and both mailing lines, delivered under the facility works by a CIRA-registered rehabilitation contractor in weeks 7 to 18. As clarified in the Responses to Queries 04, the design relies on no existing electrical, HVAC, ICT or security infrastructure. [GAP: The four proposal documents defer this to 'the facility works', which has no document of its own, and none of them names the CIRA-registered contractor. A facility works plan covering every clause 3.5 item is needed for this and the following renovation rows.]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scheduled as phase 4 of the implementation plan. They are coordinated with the Information System through the ICT Site Preparation Guide, a readiness inspection in week 18 and building-level checks in pre-commissioning. [GAP: The four proposal documents defer this to 'the facility works', which has no document of its own. No facility works method or scope statement exists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a site survey verifies dimensions, structural suitability, electrical load capacity and environmental conditions, identifies renovation requirements and leads to implementation drawings and designs, with the ICT Site Preparation Guide setting loads, power, heat and clearances. As clarified in the Responses to Queries 003, NRB coordinates Buildings Department approval of the structural and electrical designs. [GAP: Only equipment positions, delivery routes and the ICT Site Preparation Guide are described. The structural, electrical load and environmental assessments and the implementation drawings are not. As clarified in the Responses to Queries 04, the ground floor plan is provided and a further site visit may be arranged.]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all to the approved room layout. Raised floor records are delivered with the facility documentation. [GAP: The four proposal documents defer this to 'the facility works', which has no document of its own. Only raised floor records are mentioned. The refurbishment items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Separated secure areas are built for card personalization, blank card storage sized for all 2,000,000 cards, consumables storage, quality assurance, secure destruction, packaging and mailing, the server room, the control room and operator workspaces, so that stock reconciliation rests on physically controlled custody.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names the blank card store, personalization, data processing and destruction areas, and </w:t>
            </w: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the control room. The consumables store, quality assurance room, packaging and mailing room and operator workspaces are not named.]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secure locks, security cages and secure storage installations for the blank card store and the destruction area, with entry under biometric access control and every opening logged and correlated with system activity. [GAP: The four proposal documents defer this to 'the facility works', which has no document of its own. Physical reinforcement is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dedicated circuits, distribution boards, protection, isolators and breakers, earthing, lightning protection, outlets, cable management and emergency lighting, with UPS sized for production and server loads and generator support with automatic transfer. As clarified in the Responses to Queries 04, NRB supplies a dedicated power connection to the approved design. [GAP: Only UPS, generator, power distribution and grounding are described. Rewiring, protection devices, lightning protection and emergency lighting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with data center rack arrangements in the server room. Cable management and labeling are verified in pre-commissioning. [GAP: Fiber cabling, cable trays, conduits and network outlets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internationally recognized structured cabling standards, and the cabling records are delivered with the facility documentation. Connectivity, throughput and redundancy are verified in the network infrastructure pre-commissioning test. [GAP: No cabling standard is named. Name the standards in the facility works plan, for example ISO/IEC 11801 or ANSI/TIA-568.]</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Biometric access control,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 [GAP: Smart card access and role-based zones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Internal and external closed circuit television cameras cover the production area, secure stores, server room and perimeter, recording to a video recording system with centralized monitoring and long-term storage under a defined retention period.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states only closed circuit television with defined retention. Camera coverage, recording, monitoring and the retention period need specifying.]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Intrusion detection with motion sensors, door sensors, alarm systems and panic alarms is installed across the facility, and intrusion alarm events feed the security information and event management system for correlation with system events. [GAP: Sensor types and panic alarms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 [GAP: Detector types, extinguishers and evacuation signage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 [GAP: No fire safety standard is named. Name them in the facility works plan, for example NFPA 72 and NFPA 2001 or the BS EN equivalents.]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 [GAP: Ergonomic furniture and the quality control and consumables handling stations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Occupational Health and Safety Plan, the Environmental and Social Management Plan and the Waste Management Plan submitted with the proposal, covering safe working practices, environmental compliance, segregation and disposal of construction, electronic and hazardous waste, and hazard management during the works. [GAP: These plans are mandatory under PDS ITP 11.2(j) but are not in the repository. Prepare them and make sure they cover the renovation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and physical security systems are tested and commissioned under the facility works. The Pre-Commissioning Test Program, as amended by Addendum No. 2, then covers network and cabling, access control, production workflow simulation, performance and capacity under load, and pilot production readiness, followed by the operational acceptance tests. [GAP: The electrical power and environmental systems tests of Table A are marked as performed under the facility works, with no test plan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It complements the Information System training, which covers emergency stops and safe working at the lines and includes a facility management participant in management training. [GAP: The facility training curriculum, trainees and schedule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[GAP: The defect liability period for the facility works is not stated.]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29"/>
        <w:gridCol w:w="2001"/>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2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 [CONFIRM: The equipment manufacturer's written FAT hosting confirmation (Document Register item 1.9) must be obtained and attached; it is mandatory for clause 4.1.1.]</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 [GAP: The documents describe delivery inspection in one line only. The method itself is not described: checking against the packing list and purchase order, checking damage and shock indicators, capturing serial numbers at receipt, handling discrepancies and shortages, and NRB sign-off. Suggest adding a short delivery inspection procedure to </w:t>
            </w:r>
            <w:r>
              <w:rPr>
                <w:b w:val="false"/>
                <w:bCs w:val="false"/>
                <w:i w:val="false"/>
                <w:iCs w:val="false"/>
              </w:rPr>
              <w:t xml:space="preserve">Preliminary Project Plan Section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Electrical power testing is performed under the facility works, which install the uninterruptible power supply, generator support with automatic transfer, power distribution and grounding, and deliver the electrical system documentation. The Information System relies on that result, and thereafter monitors power and UPS status with threshold alerts. [GAP: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gives test 2 no week and no deliverable, and the test details (utility power, UPS, distribution, circuit load, automatic transfer switch, earthing, voltage and frequency measurements) and the Electrical Systems Test Report appear only in the facility works plan, which is not one of the four citable documents. Add the week, the bullets and the report to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or cross-reference the facility works test plan.]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Environmental systems testing is performed under the facility works, which install air conditioning with humidity control, precision cooling, fire detection and clean agent suppression. Temperature, humidity and power readings then feed the System's monitoring and alerting, and environmental monitoring events feed security event management. [GAP: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gives test 3 no week and no deliverable, and the test details and the Environmental Systems Readiness Report are in the facility works plan, not in the four citable documents. Water leakage detection and airflow testing are not mentioned anywhere in the proposal. Confirm that leak sensors are in the facility works scope and add them to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the test to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 [CONFIRM: </w:t>
            </w:r>
            <w:r>
              <w:rPr>
                <w:b w:val="false"/>
                <w:bCs w:val="false"/>
                <w:i w:val="false"/>
                <w:iCs w:val="false"/>
              </w:rPr>
              <w:t xml:space="preserve">System Architecture Section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describes the System's own directory on three domain controllers, independent of NRB services, while the Responses to Queries 003 state that NRB will provide its existing Active Directory for integration. Confirm the directory product and how it integrates with NRB's Active Directory, and align the two statements.]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 [CONFIRM: Table A test 6 as amended by Addendum 2 still lists barcode encoding (if applicable) and print quality, but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lists only alignment, greyscale consistency and QR encoding. Confirm the symbology of the machine-readable card identifier, and add its encoding and print quality to test 6 in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 [CONFIRM: The equipment manufacturer must confirm in writing 1,000 accepted cards per hour per line with the full personalization content (risk R3 in </w:t>
            </w:r>
            <w:r>
              <w:rPr>
                <w:b w:val="false"/>
                <w:bCs w:val="false"/>
                <w:i w:val="false"/>
                <w:iCs w:val="false"/>
              </w:rPr>
              <w:t xml:space="preserve">Preliminary Project Plan Section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The proposal does not yet state that throughput is measured on accepted finished cards, as the Responses to Queries 003 require: add it to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The MS1000 datasheet rates the mailing line at up to 1,000 cards per hour, so the mailing rate is at the datasheet maximum.]</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Inkript assists the Purchaser in running the seventeen Table B tests in the live production environment in weeks 27 to 30, each measured by a method agreed with NRB in the operational acceptance test procedures issued in week 24. Their completion is the Operational Acceptance gate in week 30, from which post-Operational Acceptance technical assistance starts. [CONFIRM: Two points to settle. (1) The Responses to Queries 003 state that acceptance tests run against the NRIS test environment and test cards are not issued, while </w:t>
            </w:r>
            <w:r>
              <w:rPr>
                <w:b w:val="false"/>
                <w:bCs w:val="false"/>
                <w:i w:val="false"/>
                <w:iCs w:val="false"/>
              </w:rPr>
              <w:t xml:space="preserve">Preliminary Project Plan Section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plan operational acceptance on real NRIS records. Confirm with NRB which data the OAT uses. (2) Clause 4.3.1 ties warranty commencement to OAT completion, but </w:t>
            </w:r>
            <w:r>
              <w:rPr>
                <w:b w:val="false"/>
                <w:bCs w:val="false"/>
                <w:i w:val="false"/>
                <w:iCs w:val="false"/>
              </w:rPr>
              <w:t xml:space="preserve">Preliminary Project Plan Section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starts the warranty at Final Acceptance (SCC GCC 29.4); align the wording.]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independent laser stations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 [CONFIRM: Depends on the equipment manufacturer confirming 1,000 accepted cards per hour per line with the full personalization content (risk R3 in </w:t>
            </w:r>
            <w:r>
              <w:rPr>
                <w:b w:val="false"/>
                <w:bCs w:val="false"/>
                <w:i w:val="false"/>
                <w:iCs w:val="false"/>
              </w:rPr>
              <w:t xml:space="preserve">Preliminary Project Plan Section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The throughput basis in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says cards per hour, not accepted finished cards; align it with the Responses to Queries 003.]</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 [CONFIRM: The S8000 and MS1000 datasheets state a one-year standard manufacturer warranty (S8000 extendable by one year). Inkript must confirm back-to-back three-year manufacturer coverage through the support agreement and the Manufacturer's Authorization. Warranty start also needs aligning: Final Acceptance in the proposal and SCC GCC 29.4, Operational Acceptance in clause 4.3.1.]</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 [CONFIRM: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says the manufacturer's Level 3 support agreement covers the warranty period only; confirm it extends to post-warranty maintenance. The MTBF target depends on the manufacturer's specified MTBF figures, which are not in the datasheets and must be obtained.]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 [CONFIRM: The proposal documents do not state the input quantities per role. Confirm that the System Inventory Tables for Recurrent Cost Items are completed at not less than the Purchaser's minimum quantities (in the Financial Part only, since no pricing may appear in the Technical Part).]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 [CONFIRM: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leaves out the hardware and software integration experience the clause requires, and no document states that the role supports the personalization, mailing and dispatch system integrated with NRIS and the operational environment. The named candidate's CV and certificates must show the integration experience, the CCNA or CCNP and the manufacturer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 [CONFIRM: The documents do not state the candidate's experience in encryption systems, covert and forensic security, and tactile and laser-Braille elements. The CV must evidence these, and copies of the ACE-M and PKI certificates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 [GAP: The role is only named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No qualifications, experience, scope or candidate appear anywhere, and the role is missing from the table in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Add the role with its degree, seven years in critical infrastructure, and UPS, HVAC, generator, fire suppression and secure facility experience, and provide the CV (the same role is key personnel under clause 2.4.1.10).]</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 [CONFIRM: The documents do not mention network redundancy experience or Fortinet or Palo Alto certification (an added advantage). The candidate's CV should show the first and state the second if held.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engages the Network Engineer for design and weeks 15 to 23 only; align it with the post-Operational Acceptance technical team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 [CONFIRM: The documents do not mention experience with access control systems, which the clause requires, or a PKI certification (added advantage). The CV must evidence access control systems experience, and certificate copies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2026-10-07T10:30:07.439Z</dcterms:created>
  <dcterms:modified xsi:type="dcterms:W3CDTF">2026-10-07T10:30:07.439Z</dcterms:modified>
</cp:coreProperties>
</file>

<file path=docProps/custom.xml><?xml version="1.0" encoding="utf-8"?>
<Properties xmlns="http://schemas.openxmlformats.org/officeDocument/2006/custom-properties" xmlns:vt="http://schemas.openxmlformats.org/officeDocument/2006/docPropsVTypes"/>
</file>